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07199B" w:rsidRDefault="00764FD9">
      <w:pPr>
        <w:pStyle w:val="Heading1"/>
        <w:rPr>
          <w:b/>
          <w:sz w:val="22"/>
          <w:szCs w:val="22"/>
        </w:rPr>
      </w:pPr>
      <w:bookmarkStart w:id="0" w:name="_kjqd0ue41k8d" w:colFirst="0" w:colLast="0"/>
      <w:bookmarkEnd w:id="0"/>
      <w:r>
        <w:rPr>
          <w:b/>
          <w:sz w:val="22"/>
          <w:szCs w:val="22"/>
        </w:rPr>
        <w:t>Gold Standard Consultation autumn 2022 ‘CONDITIONS FOR CONSENTING TO TOKENISATION OF GOLD STANDARD-ISSUED CREDITS’</w:t>
      </w:r>
    </w:p>
    <w:p w14:paraId="00000002" w14:textId="76326AA4" w:rsidR="0007199B" w:rsidRDefault="00764FD9">
      <w:pPr>
        <w:pStyle w:val="Heading1"/>
        <w:rPr>
          <w:sz w:val="22"/>
          <w:szCs w:val="22"/>
        </w:rPr>
      </w:pPr>
      <w:bookmarkStart w:id="1" w:name="_msdq27q2risx" w:colFirst="0" w:colLast="0"/>
      <w:bookmarkEnd w:id="1"/>
      <w:r>
        <w:rPr>
          <w:sz w:val="22"/>
          <w:szCs w:val="22"/>
        </w:rPr>
        <w:t>Input from experts at the Cambridge Centre for Carbon Credits (</w:t>
      </w:r>
      <w:r w:rsidRPr="00764FD9">
        <w:rPr>
          <w:b/>
          <w:sz w:val="22"/>
          <w:szCs w:val="22"/>
        </w:rPr>
        <w:t>4C</w:t>
      </w:r>
      <w:r>
        <w:rPr>
          <w:sz w:val="22"/>
          <w:szCs w:val="22"/>
        </w:rPr>
        <w:t xml:space="preserve">) at the University </w:t>
      </w:r>
      <w:proofErr w:type="gramStart"/>
      <w:r>
        <w:rPr>
          <w:sz w:val="22"/>
          <w:szCs w:val="22"/>
        </w:rPr>
        <w:t>of</w:t>
      </w:r>
      <w:proofErr w:type="gramEnd"/>
      <w:r>
        <w:rPr>
          <w:sz w:val="22"/>
          <w:szCs w:val="22"/>
        </w:rPr>
        <w:t xml:space="preserve"> Cambridge, United Kingdom. The opinions do not represent the opinions of the University. Contact: Harriet Hunnable - email hh555@cam.ac.uk  </w:t>
      </w:r>
      <w:bookmarkStart w:id="2" w:name="_GoBack"/>
      <w:bookmarkEnd w:id="2"/>
    </w:p>
    <w:p w14:paraId="00000003" w14:textId="77777777" w:rsidR="0007199B" w:rsidRDefault="00764FD9">
      <w:pPr>
        <w:pStyle w:val="Heading1"/>
        <w:rPr>
          <w:sz w:val="22"/>
          <w:szCs w:val="22"/>
        </w:rPr>
      </w:pPr>
      <w:bookmarkStart w:id="3" w:name="_b8kf7e6eji39" w:colFirst="0" w:colLast="0"/>
      <w:bookmarkEnd w:id="3"/>
      <w:r>
        <w:rPr>
          <w:sz w:val="22"/>
          <w:szCs w:val="22"/>
        </w:rPr>
        <w:t xml:space="preserve">Questions and responses: </w:t>
      </w:r>
    </w:p>
    <w:p w14:paraId="00000004" w14:textId="77777777" w:rsidR="0007199B" w:rsidRDefault="00764FD9">
      <w:pPr>
        <w:pStyle w:val="Heading1"/>
        <w:rPr>
          <w:b/>
          <w:sz w:val="22"/>
          <w:szCs w:val="22"/>
        </w:rPr>
      </w:pPr>
      <w:bookmarkStart w:id="4" w:name="_rc35ytbre1j7" w:colFirst="0" w:colLast="0"/>
      <w:bookmarkEnd w:id="4"/>
      <w:r>
        <w:rPr>
          <w:b/>
          <w:sz w:val="22"/>
          <w:szCs w:val="22"/>
        </w:rPr>
        <w:t>P</w:t>
      </w:r>
      <w:r>
        <w:rPr>
          <w:b/>
          <w:sz w:val="22"/>
          <w:szCs w:val="22"/>
        </w:rPr>
        <w:t>ROCESS</w:t>
      </w:r>
    </w:p>
    <w:p w14:paraId="00000005" w14:textId="77777777" w:rsidR="0007199B" w:rsidRDefault="0007199B"/>
    <w:p w14:paraId="00000006" w14:textId="77777777" w:rsidR="0007199B" w:rsidRDefault="00764FD9">
      <w:pPr>
        <w:rPr>
          <w:b/>
        </w:rPr>
      </w:pPr>
      <w:r>
        <w:rPr>
          <w:b/>
        </w:rPr>
        <w:t xml:space="preserve">Do you agree that Gold Standard should explore and enable organisations </w:t>
      </w:r>
      <w:proofErr w:type="gramStart"/>
      <w:r>
        <w:rPr>
          <w:b/>
        </w:rPr>
        <w:t>to</w:t>
      </w:r>
      <w:proofErr w:type="gramEnd"/>
    </w:p>
    <w:p w14:paraId="00000007" w14:textId="77777777" w:rsidR="0007199B" w:rsidRDefault="00764FD9">
      <w:pPr>
        <w:rPr>
          <w:b/>
        </w:rPr>
      </w:pPr>
      <w:proofErr w:type="gramStart"/>
      <w:r>
        <w:rPr>
          <w:b/>
        </w:rPr>
        <w:t>create</w:t>
      </w:r>
      <w:proofErr w:type="gramEnd"/>
      <w:r>
        <w:rPr>
          <w:b/>
        </w:rPr>
        <w:t xml:space="preserve"> digital tokens representing Gold Standard credits, using </w:t>
      </w:r>
      <w:proofErr w:type="spellStart"/>
      <w:r>
        <w:rPr>
          <w:b/>
        </w:rPr>
        <w:t>blockchain</w:t>
      </w:r>
      <w:proofErr w:type="spellEnd"/>
    </w:p>
    <w:p w14:paraId="00000008" w14:textId="77777777" w:rsidR="0007199B" w:rsidRDefault="00764FD9">
      <w:pPr>
        <w:rPr>
          <w:b/>
        </w:rPr>
      </w:pPr>
      <w:proofErr w:type="gramStart"/>
      <w:r>
        <w:rPr>
          <w:b/>
        </w:rPr>
        <w:t>technology</w:t>
      </w:r>
      <w:proofErr w:type="gramEnd"/>
      <w:r>
        <w:rPr>
          <w:b/>
        </w:rPr>
        <w:t>? Why?</w:t>
      </w:r>
    </w:p>
    <w:p w14:paraId="00000009" w14:textId="77777777" w:rsidR="0007199B" w:rsidRDefault="0007199B">
      <w:pPr>
        <w:rPr>
          <w:b/>
        </w:rPr>
      </w:pPr>
    </w:p>
    <w:p w14:paraId="0000000A" w14:textId="77777777" w:rsidR="0007199B" w:rsidRDefault="00764FD9">
      <w:pPr>
        <w:ind w:left="720"/>
      </w:pPr>
      <w:proofErr w:type="gramStart"/>
      <w:r>
        <w:t xml:space="preserve">Yes but only where it genuinely adds value, </w:t>
      </w:r>
      <w:proofErr w:type="spellStart"/>
      <w:r>
        <w:t>e.g</w:t>
      </w:r>
      <w:proofErr w:type="spellEnd"/>
      <w:r>
        <w:t xml:space="preserve"> results in more money going up t</w:t>
      </w:r>
      <w:r>
        <w:t>he chain and/or adds to transparency of use.</w:t>
      </w:r>
      <w:proofErr w:type="gramEnd"/>
    </w:p>
    <w:p w14:paraId="0000000B" w14:textId="77777777" w:rsidR="0007199B" w:rsidRDefault="0007199B">
      <w:pPr>
        <w:ind w:left="720"/>
      </w:pPr>
    </w:p>
    <w:p w14:paraId="0000000C" w14:textId="77777777" w:rsidR="0007199B" w:rsidRDefault="00764FD9">
      <w:pPr>
        <w:ind w:left="720"/>
      </w:pPr>
      <w:r>
        <w:t>We have concerns about use for retail (individuals purchasing for speculation or investment)   and use of digital tokens for speculation generally.</w:t>
      </w:r>
    </w:p>
    <w:p w14:paraId="0000000D" w14:textId="77777777" w:rsidR="0007199B" w:rsidRDefault="0007199B">
      <w:pPr>
        <w:ind w:left="720"/>
      </w:pPr>
    </w:p>
    <w:p w14:paraId="0000000E" w14:textId="77777777" w:rsidR="0007199B" w:rsidRDefault="00764FD9">
      <w:pPr>
        <w:ind w:left="720"/>
      </w:pPr>
      <w:r>
        <w:t xml:space="preserve">Any digital token wrapping </w:t>
      </w:r>
      <w:proofErr w:type="gramStart"/>
      <w:r>
        <w:t>must be done</w:t>
      </w:r>
      <w:proofErr w:type="gramEnd"/>
      <w:r>
        <w:t xml:space="preserve"> with the consent of t</w:t>
      </w:r>
      <w:r>
        <w:t>he originating project and this should be opt-in rather than opt-out.</w:t>
      </w:r>
    </w:p>
    <w:p w14:paraId="0000000F" w14:textId="77777777" w:rsidR="0007199B" w:rsidRDefault="0007199B"/>
    <w:p w14:paraId="00000010" w14:textId="77777777" w:rsidR="0007199B" w:rsidRDefault="00764FD9">
      <w:pPr>
        <w:rPr>
          <w:b/>
        </w:rPr>
      </w:pPr>
      <w:r>
        <w:rPr>
          <w:b/>
        </w:rPr>
        <w:t>Do you consider there to be potential advantages or disadvantages for your</w:t>
      </w:r>
    </w:p>
    <w:p w14:paraId="00000011" w14:textId="77777777" w:rsidR="0007199B" w:rsidRDefault="00764FD9">
      <w:pPr>
        <w:rPr>
          <w:b/>
        </w:rPr>
      </w:pPr>
      <w:proofErr w:type="gramStart"/>
      <w:r>
        <w:rPr>
          <w:b/>
        </w:rPr>
        <w:t>organisation</w:t>
      </w:r>
      <w:proofErr w:type="gramEnd"/>
      <w:r>
        <w:rPr>
          <w:b/>
        </w:rPr>
        <w:t xml:space="preserve"> if this were enabled?</w:t>
      </w:r>
    </w:p>
    <w:p w14:paraId="00000012" w14:textId="77777777" w:rsidR="0007199B" w:rsidRDefault="0007199B">
      <w:pPr>
        <w:rPr>
          <w:b/>
        </w:rPr>
      </w:pPr>
    </w:p>
    <w:p w14:paraId="00000013" w14:textId="77777777" w:rsidR="0007199B" w:rsidRDefault="00764FD9">
      <w:pPr>
        <w:ind w:left="720"/>
      </w:pPr>
      <w:r>
        <w:t xml:space="preserve">Indifferent unless </w:t>
      </w:r>
      <w:proofErr w:type="gramStart"/>
      <w:r>
        <w:t>there’s</w:t>
      </w:r>
      <w:proofErr w:type="gramEnd"/>
      <w:r>
        <w:t xml:space="preserve"> some collaboration with GS.</w:t>
      </w:r>
    </w:p>
    <w:p w14:paraId="00000014" w14:textId="77777777" w:rsidR="0007199B" w:rsidRDefault="0007199B"/>
    <w:p w14:paraId="00000015" w14:textId="77777777" w:rsidR="0007199B" w:rsidRDefault="00764FD9">
      <w:pPr>
        <w:rPr>
          <w:b/>
        </w:rPr>
      </w:pPr>
      <w:r>
        <w:rPr>
          <w:b/>
        </w:rPr>
        <w:t>Do you consider th</w:t>
      </w:r>
      <w:r>
        <w:rPr>
          <w:b/>
        </w:rPr>
        <w:t xml:space="preserve">ere to be uses of </w:t>
      </w:r>
      <w:proofErr w:type="spellStart"/>
      <w:r>
        <w:rPr>
          <w:b/>
        </w:rPr>
        <w:t>blockchain</w:t>
      </w:r>
      <w:proofErr w:type="spellEnd"/>
      <w:r>
        <w:rPr>
          <w:b/>
        </w:rPr>
        <w:t xml:space="preserve"> technology that should be</w:t>
      </w:r>
    </w:p>
    <w:p w14:paraId="00000016" w14:textId="77777777" w:rsidR="0007199B" w:rsidRDefault="00764FD9">
      <w:pPr>
        <w:rPr>
          <w:b/>
        </w:rPr>
      </w:pPr>
      <w:proofErr w:type="gramStart"/>
      <w:r>
        <w:rPr>
          <w:b/>
        </w:rPr>
        <w:t>distinguished</w:t>
      </w:r>
      <w:proofErr w:type="gramEnd"/>
      <w:r>
        <w:rPr>
          <w:b/>
        </w:rPr>
        <w:t xml:space="preserve"> and treated differently from others?</w:t>
      </w:r>
    </w:p>
    <w:p w14:paraId="00000017" w14:textId="77777777" w:rsidR="0007199B" w:rsidRDefault="0007199B">
      <w:pPr>
        <w:rPr>
          <w:b/>
        </w:rPr>
      </w:pPr>
    </w:p>
    <w:p w14:paraId="00000018" w14:textId="77777777" w:rsidR="0007199B" w:rsidRDefault="00764FD9">
      <w:pPr>
        <w:ind w:left="720"/>
      </w:pPr>
      <w:r>
        <w:t xml:space="preserve">We think </w:t>
      </w:r>
      <w:proofErr w:type="gramStart"/>
      <w:r>
        <w:t>there’s</w:t>
      </w:r>
      <w:proofErr w:type="gramEnd"/>
      <w:r>
        <w:t xml:space="preserve"> an important distinction between wrapping carbon credits for trading and </w:t>
      </w:r>
      <w:proofErr w:type="spellStart"/>
      <w:r>
        <w:t>blockchain</w:t>
      </w:r>
      <w:proofErr w:type="spellEnd"/>
      <w:r>
        <w:t>-based systems that aid in transparency of use/re</w:t>
      </w:r>
      <w:r>
        <w:t>tirement.</w:t>
      </w:r>
    </w:p>
    <w:p w14:paraId="00000019" w14:textId="77777777" w:rsidR="0007199B" w:rsidRDefault="0007199B">
      <w:pPr>
        <w:ind w:left="720"/>
      </w:pPr>
    </w:p>
    <w:p w14:paraId="0000001A" w14:textId="77777777" w:rsidR="0007199B" w:rsidRDefault="00764FD9">
      <w:pPr>
        <w:ind w:left="720"/>
      </w:pPr>
      <w:r>
        <w:t>An example of the latter would be being able to tie retirement data in the Gold Standard registry with on-chain fine-grained metadata associated with the retirement (we have developed a system which is an example of that).</w:t>
      </w:r>
    </w:p>
    <w:p w14:paraId="0000001B" w14:textId="77777777" w:rsidR="0007199B" w:rsidRDefault="0007199B"/>
    <w:p w14:paraId="0000001C" w14:textId="77777777" w:rsidR="0007199B" w:rsidRDefault="00764FD9">
      <w:pPr>
        <w:pStyle w:val="Heading1"/>
        <w:rPr>
          <w:b/>
          <w:sz w:val="22"/>
          <w:szCs w:val="22"/>
        </w:rPr>
      </w:pPr>
      <w:bookmarkStart w:id="5" w:name="_5uhsqhotyise" w:colFirst="0" w:colLast="0"/>
      <w:bookmarkEnd w:id="5"/>
      <w:r>
        <w:rPr>
          <w:b/>
          <w:sz w:val="22"/>
          <w:szCs w:val="22"/>
        </w:rPr>
        <w:t>MODEL</w:t>
      </w:r>
    </w:p>
    <w:p w14:paraId="0000001D" w14:textId="77777777" w:rsidR="0007199B" w:rsidRDefault="00764FD9">
      <w:pPr>
        <w:rPr>
          <w:b/>
        </w:rPr>
      </w:pPr>
      <w:r>
        <w:rPr>
          <w:b/>
        </w:rPr>
        <w:t xml:space="preserve">Do you consider the custodial account model to be workable in the </w:t>
      </w:r>
      <w:proofErr w:type="gramStart"/>
      <w:r>
        <w:rPr>
          <w:b/>
        </w:rPr>
        <w:t>short-term</w:t>
      </w:r>
      <w:proofErr w:type="gramEnd"/>
    </w:p>
    <w:p w14:paraId="0000001E" w14:textId="77777777" w:rsidR="0007199B" w:rsidRDefault="00764FD9">
      <w:pPr>
        <w:rPr>
          <w:b/>
        </w:rPr>
      </w:pPr>
      <w:proofErr w:type="gramStart"/>
      <w:r>
        <w:rPr>
          <w:b/>
        </w:rPr>
        <w:t>while</w:t>
      </w:r>
      <w:proofErr w:type="gramEnd"/>
      <w:r>
        <w:rPr>
          <w:b/>
        </w:rPr>
        <w:t xml:space="preserve"> other solutions are explored?</w:t>
      </w:r>
    </w:p>
    <w:p w14:paraId="0000001F" w14:textId="77777777" w:rsidR="0007199B" w:rsidRDefault="0007199B">
      <w:pPr>
        <w:rPr>
          <w:b/>
        </w:rPr>
      </w:pPr>
    </w:p>
    <w:p w14:paraId="00000020" w14:textId="77777777" w:rsidR="0007199B" w:rsidRDefault="00764FD9">
      <w:pPr>
        <w:ind w:left="720"/>
      </w:pPr>
      <w:r>
        <w:lastRenderedPageBreak/>
        <w:t xml:space="preserve">We </w:t>
      </w:r>
      <w:proofErr w:type="gramStart"/>
      <w:r>
        <w:t>don’t</w:t>
      </w:r>
      <w:proofErr w:type="gramEnd"/>
      <w:r>
        <w:t xml:space="preserve"> see any immediate problems with the custodian model.</w:t>
      </w:r>
    </w:p>
    <w:p w14:paraId="00000021" w14:textId="77777777" w:rsidR="0007199B" w:rsidRDefault="0007199B"/>
    <w:p w14:paraId="00000022" w14:textId="77777777" w:rsidR="0007199B" w:rsidRDefault="00764FD9">
      <w:pPr>
        <w:rPr>
          <w:b/>
        </w:rPr>
      </w:pPr>
      <w:r>
        <w:rPr>
          <w:b/>
        </w:rPr>
        <w:t xml:space="preserve">Do you consider it appropriate for Gold Standard to explore ‘native </w:t>
      </w:r>
      <w:proofErr w:type="gramStart"/>
      <w:r>
        <w:rPr>
          <w:b/>
        </w:rPr>
        <w:t>tokenisatio</w:t>
      </w:r>
      <w:r>
        <w:rPr>
          <w:b/>
        </w:rPr>
        <w:t>n</w:t>
      </w:r>
      <w:proofErr w:type="gramEnd"/>
      <w:r>
        <w:rPr>
          <w:b/>
        </w:rPr>
        <w:t>’</w:t>
      </w:r>
    </w:p>
    <w:p w14:paraId="00000023" w14:textId="77777777" w:rsidR="0007199B" w:rsidRDefault="00764FD9">
      <w:pPr>
        <w:rPr>
          <w:b/>
        </w:rPr>
      </w:pPr>
      <w:proofErr w:type="gramStart"/>
      <w:r>
        <w:rPr>
          <w:b/>
        </w:rPr>
        <w:t>in</w:t>
      </w:r>
      <w:proofErr w:type="gramEnd"/>
      <w:r>
        <w:rPr>
          <w:b/>
        </w:rPr>
        <w:t xml:space="preserve"> the future?</w:t>
      </w:r>
    </w:p>
    <w:p w14:paraId="00000024" w14:textId="77777777" w:rsidR="0007199B" w:rsidRDefault="0007199B">
      <w:pPr>
        <w:rPr>
          <w:b/>
        </w:rPr>
      </w:pPr>
    </w:p>
    <w:p w14:paraId="00000025" w14:textId="77777777" w:rsidR="0007199B" w:rsidRDefault="00764FD9">
      <w:pPr>
        <w:ind w:left="720"/>
      </w:pPr>
      <w:proofErr w:type="gramStart"/>
      <w:r>
        <w:t>It’s</w:t>
      </w:r>
      <w:proofErr w:type="gramEnd"/>
      <w:r>
        <w:t xml:space="preserve"> unclear to us what this actually would entail. Would Gold Standard be the custodian in this case? </w:t>
      </w:r>
    </w:p>
    <w:p w14:paraId="00000026" w14:textId="77777777" w:rsidR="0007199B" w:rsidRDefault="0007199B"/>
    <w:p w14:paraId="00000027" w14:textId="77777777" w:rsidR="0007199B" w:rsidRDefault="00764FD9">
      <w:pPr>
        <w:pStyle w:val="Heading1"/>
        <w:rPr>
          <w:b/>
          <w:sz w:val="22"/>
          <w:szCs w:val="22"/>
        </w:rPr>
      </w:pPr>
      <w:bookmarkStart w:id="6" w:name="_pm086g5wtgcq" w:colFirst="0" w:colLast="0"/>
      <w:bookmarkEnd w:id="6"/>
      <w:r>
        <w:rPr>
          <w:b/>
          <w:sz w:val="22"/>
          <w:szCs w:val="22"/>
        </w:rPr>
        <w:t>HOLDING, RETIREMENT AND REPORTING</w:t>
      </w:r>
    </w:p>
    <w:p w14:paraId="00000028" w14:textId="77777777" w:rsidR="0007199B" w:rsidRDefault="0007199B">
      <w:pPr>
        <w:rPr>
          <w:b/>
        </w:rPr>
      </w:pPr>
    </w:p>
    <w:p w14:paraId="00000029" w14:textId="77777777" w:rsidR="0007199B" w:rsidRDefault="00764FD9">
      <w:pPr>
        <w:rPr>
          <w:b/>
        </w:rPr>
      </w:pPr>
      <w:r>
        <w:rPr>
          <w:b/>
        </w:rPr>
        <w:t xml:space="preserve">Do you consider these proposals </w:t>
      </w:r>
      <w:proofErr w:type="gramStart"/>
      <w:r>
        <w:rPr>
          <w:b/>
        </w:rPr>
        <w:t>to be workable</w:t>
      </w:r>
      <w:proofErr w:type="gramEnd"/>
      <w:r>
        <w:rPr>
          <w:b/>
        </w:rPr>
        <w:t xml:space="preserve"> and proportionate?</w:t>
      </w:r>
    </w:p>
    <w:p w14:paraId="0000002A" w14:textId="77777777" w:rsidR="0007199B" w:rsidRDefault="0007199B"/>
    <w:p w14:paraId="0000002B" w14:textId="77777777" w:rsidR="0007199B" w:rsidRDefault="00764FD9">
      <w:pPr>
        <w:ind w:left="720"/>
      </w:pPr>
      <w:r>
        <w:t>These seem reasonable.</w:t>
      </w:r>
    </w:p>
    <w:p w14:paraId="0000002C" w14:textId="77777777" w:rsidR="0007199B" w:rsidRDefault="0007199B"/>
    <w:p w14:paraId="0000002D" w14:textId="77777777" w:rsidR="0007199B" w:rsidRDefault="00764FD9">
      <w:pPr>
        <w:rPr>
          <w:b/>
        </w:rPr>
      </w:pPr>
      <w:r>
        <w:rPr>
          <w:b/>
        </w:rPr>
        <w:t>What d</w:t>
      </w:r>
      <w:r>
        <w:rPr>
          <w:b/>
        </w:rPr>
        <w:t xml:space="preserve">o you consider </w:t>
      </w:r>
      <w:proofErr w:type="gramStart"/>
      <w:r>
        <w:rPr>
          <w:b/>
        </w:rPr>
        <w:t>to be an</w:t>
      </w:r>
      <w:proofErr w:type="gramEnd"/>
      <w:r>
        <w:rPr>
          <w:b/>
        </w:rPr>
        <w:t xml:space="preserve"> appropriate timeframe in which retirements must</w:t>
      </w:r>
    </w:p>
    <w:p w14:paraId="0000002E" w14:textId="77777777" w:rsidR="0007199B" w:rsidRDefault="00764FD9">
      <w:pPr>
        <w:rPr>
          <w:b/>
        </w:rPr>
      </w:pPr>
      <w:proofErr w:type="gramStart"/>
      <w:r>
        <w:rPr>
          <w:b/>
        </w:rPr>
        <w:t>be</w:t>
      </w:r>
      <w:proofErr w:type="gramEnd"/>
      <w:r>
        <w:rPr>
          <w:b/>
        </w:rPr>
        <w:t xml:space="preserve"> made on the Gold Standard Registry, following their retirement on a third-party</w:t>
      </w:r>
    </w:p>
    <w:p w14:paraId="0000002F" w14:textId="77777777" w:rsidR="0007199B" w:rsidRDefault="00764FD9">
      <w:pPr>
        <w:rPr>
          <w:b/>
        </w:rPr>
      </w:pPr>
      <w:r>
        <w:rPr>
          <w:b/>
        </w:rPr>
        <w:t>Platform?</w:t>
      </w:r>
    </w:p>
    <w:p w14:paraId="00000030" w14:textId="77777777" w:rsidR="0007199B" w:rsidRDefault="0007199B">
      <w:pPr>
        <w:rPr>
          <w:b/>
        </w:rPr>
      </w:pPr>
    </w:p>
    <w:p w14:paraId="00000031" w14:textId="77777777" w:rsidR="0007199B" w:rsidRDefault="00764FD9">
      <w:pPr>
        <w:ind w:left="720"/>
      </w:pPr>
      <w:r>
        <w:t xml:space="preserve">If </w:t>
      </w:r>
      <w:proofErr w:type="gramStart"/>
      <w:r>
        <w:t>it’s</w:t>
      </w:r>
      <w:proofErr w:type="gramEnd"/>
      <w:r>
        <w:t xml:space="preserve"> digital we don’t see why it couldn’t be nearly instant unless there needs to be ag</w:t>
      </w:r>
      <w:r>
        <w:t>gregation.</w:t>
      </w:r>
    </w:p>
    <w:p w14:paraId="00000032" w14:textId="77777777" w:rsidR="0007199B" w:rsidRDefault="0007199B"/>
    <w:p w14:paraId="00000033" w14:textId="77777777" w:rsidR="0007199B" w:rsidRDefault="00764FD9">
      <w:pPr>
        <w:rPr>
          <w:b/>
        </w:rPr>
      </w:pPr>
      <w:r>
        <w:rPr>
          <w:b/>
        </w:rPr>
        <w:t>We are aware that some organisations may wish to create and market tokens that</w:t>
      </w:r>
    </w:p>
    <w:p w14:paraId="00000034" w14:textId="77777777" w:rsidR="0007199B" w:rsidRDefault="00764FD9">
      <w:pPr>
        <w:rPr>
          <w:b/>
        </w:rPr>
      </w:pPr>
      <w:proofErr w:type="gramStart"/>
      <w:r>
        <w:rPr>
          <w:b/>
        </w:rPr>
        <w:t>represent</w:t>
      </w:r>
      <w:proofErr w:type="gramEnd"/>
      <w:r>
        <w:rPr>
          <w:b/>
        </w:rPr>
        <w:t xml:space="preserve"> fractional portions of one carbon credit. Do you have experience or </w:t>
      </w:r>
      <w:proofErr w:type="gramStart"/>
      <w:r>
        <w:rPr>
          <w:b/>
        </w:rPr>
        <w:t>ideas</w:t>
      </w:r>
      <w:proofErr w:type="gramEnd"/>
    </w:p>
    <w:p w14:paraId="00000035" w14:textId="77777777" w:rsidR="0007199B" w:rsidRDefault="00764FD9">
      <w:pPr>
        <w:rPr>
          <w:b/>
        </w:rPr>
      </w:pPr>
      <w:proofErr w:type="gramStart"/>
      <w:r>
        <w:rPr>
          <w:b/>
        </w:rPr>
        <w:t>for</w:t>
      </w:r>
      <w:proofErr w:type="gramEnd"/>
      <w:r>
        <w:rPr>
          <w:b/>
        </w:rPr>
        <w:t xml:space="preserve"> how requirements may need to vary in such cases, for instance related to</w:t>
      </w:r>
    </w:p>
    <w:p w14:paraId="00000036" w14:textId="77777777" w:rsidR="0007199B" w:rsidRDefault="00764FD9">
      <w:pPr>
        <w:rPr>
          <w:b/>
        </w:rPr>
      </w:pPr>
      <w:proofErr w:type="gramStart"/>
      <w:r>
        <w:rPr>
          <w:b/>
        </w:rPr>
        <w:t>retirement</w:t>
      </w:r>
      <w:proofErr w:type="gramEnd"/>
      <w:r>
        <w:rPr>
          <w:b/>
        </w:rPr>
        <w:t xml:space="preserve"> in the Gold Standard Impact Registry?</w:t>
      </w:r>
    </w:p>
    <w:p w14:paraId="00000037" w14:textId="77777777" w:rsidR="0007199B" w:rsidRDefault="0007199B">
      <w:pPr>
        <w:rPr>
          <w:b/>
        </w:rPr>
      </w:pPr>
    </w:p>
    <w:p w14:paraId="00000038" w14:textId="77777777" w:rsidR="0007199B" w:rsidRDefault="00764FD9">
      <w:pPr>
        <w:ind w:left="720"/>
      </w:pPr>
      <w:r>
        <w:t>We do indeed have experience here. There should be allowances for fractional portions of one carbon credit. It should be up to on-chain token custodian to aggregate and retire credits in tonnes and the Gold</w:t>
      </w:r>
      <w:r>
        <w:t xml:space="preserve"> Standard registry retirement metadata needs to link to an on-chain record that shows the retirements that sum up to the GS tonne.</w:t>
      </w:r>
    </w:p>
    <w:p w14:paraId="00000039" w14:textId="77777777" w:rsidR="0007199B" w:rsidRDefault="00764FD9">
      <w:pPr>
        <w:pStyle w:val="Heading1"/>
        <w:rPr>
          <w:b/>
          <w:sz w:val="22"/>
          <w:szCs w:val="22"/>
        </w:rPr>
      </w:pPr>
      <w:bookmarkStart w:id="7" w:name="_hfizo1z7412" w:colFirst="0" w:colLast="0"/>
      <w:bookmarkEnd w:id="7"/>
      <w:r>
        <w:rPr>
          <w:b/>
          <w:sz w:val="22"/>
          <w:szCs w:val="22"/>
        </w:rPr>
        <w:t>POOLING</w:t>
      </w:r>
    </w:p>
    <w:p w14:paraId="0000003A" w14:textId="77777777" w:rsidR="0007199B" w:rsidRDefault="0007199B"/>
    <w:p w14:paraId="0000003B" w14:textId="77777777" w:rsidR="0007199B" w:rsidRDefault="00764FD9">
      <w:pPr>
        <w:rPr>
          <w:b/>
        </w:rPr>
      </w:pPr>
      <w:r>
        <w:rPr>
          <w:b/>
        </w:rPr>
        <w:t xml:space="preserve">Do you think that Gold Standard should consider restrictions on the ability </w:t>
      </w:r>
      <w:proofErr w:type="gramStart"/>
      <w:r>
        <w:rPr>
          <w:b/>
        </w:rPr>
        <w:t>of</w:t>
      </w:r>
      <w:proofErr w:type="gramEnd"/>
    </w:p>
    <w:p w14:paraId="0000003C" w14:textId="77777777" w:rsidR="0007199B" w:rsidRDefault="00764FD9">
      <w:proofErr w:type="gramStart"/>
      <w:r>
        <w:rPr>
          <w:b/>
        </w:rPr>
        <w:t>organisations</w:t>
      </w:r>
      <w:proofErr w:type="gramEnd"/>
      <w:r>
        <w:rPr>
          <w:b/>
        </w:rPr>
        <w:t xml:space="preserve"> to pool its issued credits with credits from other standards. Why?</w:t>
      </w:r>
    </w:p>
    <w:p w14:paraId="0000003D" w14:textId="77777777" w:rsidR="0007199B" w:rsidRDefault="0007199B"/>
    <w:p w14:paraId="0000003E" w14:textId="77777777" w:rsidR="0007199B" w:rsidRDefault="00764FD9">
      <w:pPr>
        <w:ind w:left="720"/>
      </w:pPr>
      <w:r>
        <w:t xml:space="preserve">Clarification </w:t>
      </w:r>
      <w:proofErr w:type="gramStart"/>
      <w:r>
        <w:t>is needed</w:t>
      </w:r>
      <w:proofErr w:type="gramEnd"/>
      <w:r>
        <w:t>. The following statement is unclear: “</w:t>
      </w:r>
      <w:r>
        <w:rPr>
          <w:i/>
        </w:rPr>
        <w:t>Gold Standard is mindful that by the nature of pools or contracts, carbon credits entered into the pool or contr</w:t>
      </w:r>
      <w:r>
        <w:rPr>
          <w:i/>
        </w:rPr>
        <w:t xml:space="preserve">act would all be expected – in the absence of new innovation – to attract the same price. If Gold Standard credits were pooled with credits from other standards, this may therefore be disadvantageous to many projects registered with Gold Standard, if they </w:t>
      </w:r>
      <w:r>
        <w:rPr>
          <w:i/>
        </w:rPr>
        <w:t>are currently able to sell credits at higher prices.</w:t>
      </w:r>
      <w:r>
        <w:t>”</w:t>
      </w:r>
    </w:p>
    <w:p w14:paraId="0000003F" w14:textId="77777777" w:rsidR="0007199B" w:rsidRDefault="0007199B">
      <w:pPr>
        <w:ind w:left="720"/>
      </w:pPr>
    </w:p>
    <w:p w14:paraId="00000040" w14:textId="77777777" w:rsidR="0007199B" w:rsidRDefault="00764FD9">
      <w:pPr>
        <w:ind w:left="720"/>
      </w:pPr>
      <w:r>
        <w:lastRenderedPageBreak/>
        <w:t>Our concern is that it is not clear what the incentive would be for mixed credits pools for anything other than speculation.</w:t>
      </w:r>
    </w:p>
    <w:p w14:paraId="00000041" w14:textId="77777777" w:rsidR="0007199B" w:rsidRDefault="0007199B"/>
    <w:p w14:paraId="00000042" w14:textId="77777777" w:rsidR="0007199B" w:rsidRDefault="00764FD9">
      <w:pPr>
        <w:rPr>
          <w:b/>
        </w:rPr>
      </w:pPr>
      <w:r>
        <w:rPr>
          <w:b/>
        </w:rPr>
        <w:t>Would you like to share any additional comments on this topic?</w:t>
      </w:r>
    </w:p>
    <w:p w14:paraId="00000043" w14:textId="77777777" w:rsidR="0007199B" w:rsidRDefault="0007199B">
      <w:pPr>
        <w:rPr>
          <w:b/>
        </w:rPr>
      </w:pPr>
    </w:p>
    <w:p w14:paraId="00000044" w14:textId="77777777" w:rsidR="0007199B" w:rsidRDefault="00764FD9">
      <w:pPr>
        <w:ind w:left="720"/>
      </w:pPr>
      <w:proofErr w:type="gramStart"/>
      <w:r>
        <w:t>It’s</w:t>
      </w:r>
      <w:proofErr w:type="gramEnd"/>
      <w:r>
        <w:t xml:space="preserve"> worth </w:t>
      </w:r>
      <w:r>
        <w:t xml:space="preserve">pointing out that technically once a token is on-chain there is nothing that can be done to stop this. The on-chain custodians </w:t>
      </w:r>
      <w:proofErr w:type="gramStart"/>
      <w:r>
        <w:t>don’t</w:t>
      </w:r>
      <w:proofErr w:type="gramEnd"/>
      <w:r>
        <w:t xml:space="preserve"> really have users agree to terms that prevent them doing things like this.</w:t>
      </w:r>
    </w:p>
    <w:p w14:paraId="00000045" w14:textId="77777777" w:rsidR="0007199B" w:rsidRDefault="0007199B">
      <w:pPr>
        <w:ind w:left="720"/>
      </w:pPr>
    </w:p>
    <w:p w14:paraId="00000046" w14:textId="77777777" w:rsidR="0007199B" w:rsidRDefault="00764FD9">
      <w:pPr>
        <w:ind w:left="720"/>
      </w:pPr>
      <w:r>
        <w:t xml:space="preserve">You can essentially take any </w:t>
      </w:r>
      <w:proofErr w:type="gramStart"/>
      <w:r>
        <w:t>token and put it i</w:t>
      </w:r>
      <w:r>
        <w:t>n a box, then box that box</w:t>
      </w:r>
      <w:proofErr w:type="gramEnd"/>
      <w:r>
        <w:t xml:space="preserve"> and do whatever you want.</w:t>
      </w:r>
    </w:p>
    <w:p w14:paraId="00000047" w14:textId="77777777" w:rsidR="0007199B" w:rsidRDefault="00764FD9">
      <w:pPr>
        <w:pStyle w:val="Heading1"/>
        <w:rPr>
          <w:b/>
          <w:sz w:val="22"/>
          <w:szCs w:val="22"/>
        </w:rPr>
      </w:pPr>
      <w:bookmarkStart w:id="8" w:name="_glggdygt1jen" w:colFirst="0" w:colLast="0"/>
      <w:bookmarkEnd w:id="8"/>
      <w:r>
        <w:rPr>
          <w:b/>
          <w:sz w:val="22"/>
          <w:szCs w:val="22"/>
        </w:rPr>
        <w:t>DUE DILIGENCE</w:t>
      </w:r>
    </w:p>
    <w:p w14:paraId="00000048" w14:textId="77777777" w:rsidR="0007199B" w:rsidRDefault="00764FD9">
      <w:pPr>
        <w:rPr>
          <w:b/>
        </w:rPr>
      </w:pPr>
      <w:r>
        <w:rPr>
          <w:b/>
        </w:rPr>
        <w:t>Is it sufficient for organisations intending to create original on-</w:t>
      </w:r>
      <w:proofErr w:type="gramStart"/>
      <w:r>
        <w:rPr>
          <w:b/>
        </w:rPr>
        <w:t>chain</w:t>
      </w:r>
      <w:proofErr w:type="gramEnd"/>
    </w:p>
    <w:p w14:paraId="00000049" w14:textId="77777777" w:rsidR="0007199B" w:rsidRDefault="00764FD9">
      <w:pPr>
        <w:rPr>
          <w:b/>
        </w:rPr>
      </w:pPr>
      <w:proofErr w:type="gramStart"/>
      <w:r>
        <w:rPr>
          <w:b/>
        </w:rPr>
        <w:t>representations</w:t>
      </w:r>
      <w:proofErr w:type="gramEnd"/>
      <w:r>
        <w:rPr>
          <w:b/>
        </w:rPr>
        <w:t xml:space="preserve"> of Gold Standard credits to undergo our existing KYC checks, or</w:t>
      </w:r>
    </w:p>
    <w:p w14:paraId="0000004A" w14:textId="77777777" w:rsidR="0007199B" w:rsidRDefault="00764FD9">
      <w:proofErr w:type="gramStart"/>
      <w:r>
        <w:rPr>
          <w:b/>
        </w:rPr>
        <w:t>should</w:t>
      </w:r>
      <w:proofErr w:type="gramEnd"/>
      <w:r>
        <w:rPr>
          <w:b/>
        </w:rPr>
        <w:t xml:space="preserve"> further due diligence require</w:t>
      </w:r>
      <w:r>
        <w:rPr>
          <w:b/>
        </w:rPr>
        <w:t>ments be introduced? If so, for whom?</w:t>
      </w:r>
    </w:p>
    <w:p w14:paraId="0000004B" w14:textId="77777777" w:rsidR="0007199B" w:rsidRDefault="0007199B"/>
    <w:p w14:paraId="0000004C" w14:textId="77777777" w:rsidR="0007199B" w:rsidRDefault="00764FD9">
      <w:pPr>
        <w:ind w:left="720"/>
      </w:pPr>
      <w:r>
        <w:t xml:space="preserve">KYC requirements should be consistent. Gold Standard will need to have an understanding of this sector and organisational types to be able to </w:t>
      </w:r>
      <w:proofErr w:type="gramStart"/>
      <w:r>
        <w:t>make  determinations</w:t>
      </w:r>
      <w:proofErr w:type="gramEnd"/>
      <w:r>
        <w:t xml:space="preserve">. </w:t>
      </w:r>
    </w:p>
    <w:p w14:paraId="0000004D" w14:textId="77777777" w:rsidR="0007199B" w:rsidRDefault="0007199B"/>
    <w:p w14:paraId="0000004E" w14:textId="77777777" w:rsidR="0007199B" w:rsidRDefault="00764FD9">
      <w:pPr>
        <w:rPr>
          <w:b/>
        </w:rPr>
      </w:pPr>
      <w:r>
        <w:rPr>
          <w:b/>
        </w:rPr>
        <w:t>Do you think that Gold Standard should introduce re</w:t>
      </w:r>
      <w:r>
        <w:rPr>
          <w:b/>
        </w:rPr>
        <w:t xml:space="preserve">quirements related to the </w:t>
      </w:r>
      <w:proofErr w:type="gramStart"/>
      <w:r>
        <w:rPr>
          <w:b/>
        </w:rPr>
        <w:t>due</w:t>
      </w:r>
      <w:proofErr w:type="gramEnd"/>
    </w:p>
    <w:p w14:paraId="0000004F" w14:textId="77777777" w:rsidR="0007199B" w:rsidRDefault="00764FD9">
      <w:pPr>
        <w:rPr>
          <w:b/>
        </w:rPr>
      </w:pPr>
      <w:proofErr w:type="gramStart"/>
      <w:r>
        <w:rPr>
          <w:b/>
        </w:rPr>
        <w:t>diligence</w:t>
      </w:r>
      <w:proofErr w:type="gramEnd"/>
      <w:r>
        <w:rPr>
          <w:b/>
        </w:rPr>
        <w:t xml:space="preserve"> checks that organisations creating digital tokens representing Gold</w:t>
      </w:r>
    </w:p>
    <w:p w14:paraId="00000050" w14:textId="77777777" w:rsidR="0007199B" w:rsidRDefault="00764FD9">
      <w:pPr>
        <w:rPr>
          <w:b/>
        </w:rPr>
      </w:pPr>
      <w:r>
        <w:rPr>
          <w:b/>
        </w:rPr>
        <w:t xml:space="preserve">Standard credits apply for their own </w:t>
      </w:r>
      <w:proofErr w:type="gramStart"/>
      <w:r>
        <w:rPr>
          <w:b/>
        </w:rPr>
        <w:t>users?</w:t>
      </w:r>
      <w:proofErr w:type="gramEnd"/>
    </w:p>
    <w:p w14:paraId="00000051" w14:textId="77777777" w:rsidR="0007199B" w:rsidRDefault="0007199B">
      <w:pPr>
        <w:rPr>
          <w:b/>
        </w:rPr>
      </w:pPr>
    </w:p>
    <w:p w14:paraId="00000052" w14:textId="77777777" w:rsidR="0007199B" w:rsidRDefault="00764FD9">
      <w:pPr>
        <w:ind w:left="720"/>
      </w:pPr>
      <w:proofErr w:type="gramStart"/>
      <w:r>
        <w:t>There’s</w:t>
      </w:r>
      <w:proofErr w:type="gramEnd"/>
      <w:r>
        <w:t xml:space="preserve"> two issues here, one is whether it is desirable to have people or entities holding GS credits t</w:t>
      </w:r>
      <w:r>
        <w:t xml:space="preserve">hat haven’t gone through KYC and the other is whether you want people or entities </w:t>
      </w:r>
      <w:r>
        <w:rPr>
          <w:i/>
        </w:rPr>
        <w:t>retiring</w:t>
      </w:r>
      <w:r>
        <w:t xml:space="preserve"> GS credits that haven’t gone through KYC.</w:t>
      </w:r>
    </w:p>
    <w:p w14:paraId="00000053" w14:textId="77777777" w:rsidR="0007199B" w:rsidRDefault="0007199B">
      <w:pPr>
        <w:ind w:left="720"/>
      </w:pPr>
    </w:p>
    <w:p w14:paraId="00000054" w14:textId="77777777" w:rsidR="0007199B" w:rsidRDefault="00764FD9">
      <w:pPr>
        <w:ind w:left="720"/>
      </w:pPr>
      <w:r>
        <w:t xml:space="preserve">We think </w:t>
      </w:r>
      <w:proofErr w:type="gramStart"/>
      <w:r>
        <w:t>there’s</w:t>
      </w:r>
      <w:proofErr w:type="gramEnd"/>
      <w:r>
        <w:t xml:space="preserve"> genuine reputational concerns around the former case being used for </w:t>
      </w:r>
      <w:proofErr w:type="spellStart"/>
      <w:r>
        <w:t>e.g</w:t>
      </w:r>
      <w:proofErr w:type="spellEnd"/>
      <w:r>
        <w:t xml:space="preserve"> money laundering. For the latter </w:t>
      </w:r>
      <w:r>
        <w:t>there are potential credibility issues with allowing anonymous retirement - Gold Standard should consider opt-in KYC for retirement so an organisation can prove the tokens it ultimately retired were from them.</w:t>
      </w:r>
    </w:p>
    <w:p w14:paraId="00000055" w14:textId="77777777" w:rsidR="0007199B" w:rsidRDefault="00764FD9">
      <w:pPr>
        <w:pStyle w:val="Heading1"/>
        <w:rPr>
          <w:b/>
          <w:sz w:val="22"/>
          <w:szCs w:val="22"/>
        </w:rPr>
      </w:pPr>
      <w:bookmarkStart w:id="9" w:name="_tlo3vx7hzh4f" w:colFirst="0" w:colLast="0"/>
      <w:bookmarkEnd w:id="9"/>
      <w:r>
        <w:rPr>
          <w:b/>
          <w:sz w:val="22"/>
          <w:szCs w:val="22"/>
        </w:rPr>
        <w:t>SUSTAINABILITY</w:t>
      </w:r>
    </w:p>
    <w:p w14:paraId="00000056" w14:textId="77777777" w:rsidR="0007199B" w:rsidRDefault="00764FD9">
      <w:pPr>
        <w:rPr>
          <w:b/>
        </w:rPr>
      </w:pPr>
      <w:r>
        <w:rPr>
          <w:b/>
        </w:rPr>
        <w:t xml:space="preserve">Do you agree that Gold Standard should apply restrictions related to the </w:t>
      </w:r>
      <w:proofErr w:type="gramStart"/>
      <w:r>
        <w:rPr>
          <w:b/>
        </w:rPr>
        <w:t>emissions</w:t>
      </w:r>
      <w:proofErr w:type="gramEnd"/>
    </w:p>
    <w:p w14:paraId="00000057" w14:textId="77777777" w:rsidR="0007199B" w:rsidRDefault="00764FD9">
      <w:pPr>
        <w:rPr>
          <w:b/>
        </w:rPr>
      </w:pPr>
      <w:proofErr w:type="gramStart"/>
      <w:r>
        <w:rPr>
          <w:b/>
        </w:rPr>
        <w:t>footprint</w:t>
      </w:r>
      <w:proofErr w:type="gramEnd"/>
      <w:r>
        <w:rPr>
          <w:b/>
        </w:rPr>
        <w:t xml:space="preserve"> of </w:t>
      </w:r>
      <w:proofErr w:type="spellStart"/>
      <w:r>
        <w:rPr>
          <w:b/>
        </w:rPr>
        <w:t>blockchain</w:t>
      </w:r>
      <w:proofErr w:type="spellEnd"/>
      <w:r>
        <w:rPr>
          <w:b/>
        </w:rPr>
        <w:t xml:space="preserve"> technologies?</w:t>
      </w:r>
    </w:p>
    <w:p w14:paraId="00000058" w14:textId="77777777" w:rsidR="0007199B" w:rsidRDefault="0007199B">
      <w:pPr>
        <w:rPr>
          <w:b/>
        </w:rPr>
      </w:pPr>
    </w:p>
    <w:p w14:paraId="00000059" w14:textId="77777777" w:rsidR="0007199B" w:rsidRDefault="00764FD9">
      <w:pPr>
        <w:ind w:left="720"/>
      </w:pPr>
      <w:r>
        <w:t>Yes. It would be silly if the emissions involved in trading a tonne of carbon were material.</w:t>
      </w:r>
    </w:p>
    <w:p w14:paraId="0000005A" w14:textId="77777777" w:rsidR="0007199B" w:rsidRDefault="00764FD9">
      <w:pPr>
        <w:pStyle w:val="Heading1"/>
        <w:rPr>
          <w:b/>
          <w:sz w:val="22"/>
          <w:szCs w:val="22"/>
        </w:rPr>
      </w:pPr>
      <w:bookmarkStart w:id="10" w:name="_gmbm1t882w53" w:colFirst="0" w:colLast="0"/>
      <w:bookmarkEnd w:id="10"/>
      <w:r>
        <w:rPr>
          <w:b/>
          <w:sz w:val="22"/>
          <w:szCs w:val="22"/>
        </w:rPr>
        <w:t>DATA SECURITY</w:t>
      </w:r>
    </w:p>
    <w:p w14:paraId="0000005B" w14:textId="77777777" w:rsidR="0007199B" w:rsidRDefault="00764FD9">
      <w:pPr>
        <w:rPr>
          <w:b/>
        </w:rPr>
      </w:pPr>
      <w:r>
        <w:rPr>
          <w:b/>
        </w:rPr>
        <w:t>Do you agree that Gold Stan</w:t>
      </w:r>
      <w:r>
        <w:rPr>
          <w:b/>
        </w:rPr>
        <w:t>dard should either introduce conditions or require</w:t>
      </w:r>
    </w:p>
    <w:p w14:paraId="0000005C" w14:textId="77777777" w:rsidR="0007199B" w:rsidRDefault="00764FD9">
      <w:pPr>
        <w:rPr>
          <w:b/>
        </w:rPr>
      </w:pPr>
      <w:proofErr w:type="gramStart"/>
      <w:r>
        <w:rPr>
          <w:b/>
        </w:rPr>
        <w:t>information</w:t>
      </w:r>
      <w:proofErr w:type="gramEnd"/>
      <w:r>
        <w:rPr>
          <w:b/>
        </w:rPr>
        <w:t xml:space="preserve"> related to the IT security measures that an organisation is taking to</w:t>
      </w:r>
    </w:p>
    <w:p w14:paraId="0000005D" w14:textId="77777777" w:rsidR="0007199B" w:rsidRDefault="00764FD9">
      <w:proofErr w:type="gramStart"/>
      <w:r>
        <w:rPr>
          <w:b/>
        </w:rPr>
        <w:lastRenderedPageBreak/>
        <w:t>protect</w:t>
      </w:r>
      <w:proofErr w:type="gramEnd"/>
      <w:r>
        <w:rPr>
          <w:b/>
        </w:rPr>
        <w:t xml:space="preserve"> data against breaches?</w:t>
      </w:r>
    </w:p>
    <w:p w14:paraId="0000005E" w14:textId="77777777" w:rsidR="0007199B" w:rsidRDefault="0007199B"/>
    <w:p w14:paraId="0000005F" w14:textId="77777777" w:rsidR="0007199B" w:rsidRDefault="00764FD9">
      <w:pPr>
        <w:ind w:left="720"/>
      </w:pPr>
      <w:r>
        <w:t xml:space="preserve">Not really, we </w:t>
      </w:r>
      <w:proofErr w:type="gramStart"/>
      <w:r>
        <w:t>don’t</w:t>
      </w:r>
      <w:proofErr w:type="gramEnd"/>
      <w:r>
        <w:t xml:space="preserve"> think anything prescribed here would be more than theatre.</w:t>
      </w:r>
    </w:p>
    <w:p w14:paraId="00000060" w14:textId="77777777" w:rsidR="0007199B" w:rsidRDefault="00764FD9">
      <w:pPr>
        <w:pStyle w:val="Heading1"/>
        <w:rPr>
          <w:b/>
          <w:sz w:val="22"/>
          <w:szCs w:val="22"/>
        </w:rPr>
      </w:pPr>
      <w:bookmarkStart w:id="11" w:name="_6iq1hpjkthwx" w:colFirst="0" w:colLast="0"/>
      <w:bookmarkEnd w:id="11"/>
      <w:r>
        <w:rPr>
          <w:b/>
          <w:sz w:val="22"/>
          <w:szCs w:val="22"/>
        </w:rPr>
        <w:t>PERMITTED U</w:t>
      </w:r>
      <w:r>
        <w:rPr>
          <w:b/>
          <w:sz w:val="22"/>
          <w:szCs w:val="22"/>
        </w:rPr>
        <w:t>NITS</w:t>
      </w:r>
    </w:p>
    <w:p w14:paraId="00000061" w14:textId="77777777" w:rsidR="0007199B" w:rsidRDefault="00764FD9">
      <w:pPr>
        <w:rPr>
          <w:b/>
        </w:rPr>
      </w:pPr>
      <w:r>
        <w:rPr>
          <w:b/>
        </w:rPr>
        <w:t xml:space="preserve">Do you agree with the proposal not to initially permit the tokenisation of </w:t>
      </w:r>
      <w:proofErr w:type="gramStart"/>
      <w:r>
        <w:rPr>
          <w:b/>
        </w:rPr>
        <w:t>these</w:t>
      </w:r>
      <w:proofErr w:type="gramEnd"/>
    </w:p>
    <w:p w14:paraId="00000062" w14:textId="77777777" w:rsidR="0007199B" w:rsidRDefault="00764FD9">
      <w:proofErr w:type="gramStart"/>
      <w:r>
        <w:rPr>
          <w:b/>
        </w:rPr>
        <w:t>categories</w:t>
      </w:r>
      <w:proofErr w:type="gramEnd"/>
      <w:r>
        <w:rPr>
          <w:b/>
        </w:rPr>
        <w:t xml:space="preserve"> of credit, until tailored safeguards are developed?</w:t>
      </w:r>
    </w:p>
    <w:p w14:paraId="00000063" w14:textId="77777777" w:rsidR="0007199B" w:rsidRDefault="00764FD9">
      <w:pPr>
        <w:ind w:left="720"/>
      </w:pPr>
      <w:r>
        <w:t>This is correct and prudent.</w:t>
      </w:r>
    </w:p>
    <w:p w14:paraId="00000064" w14:textId="77777777" w:rsidR="0007199B" w:rsidRDefault="00764FD9">
      <w:pPr>
        <w:pStyle w:val="Heading1"/>
        <w:rPr>
          <w:b/>
          <w:sz w:val="22"/>
          <w:szCs w:val="22"/>
        </w:rPr>
      </w:pPr>
      <w:bookmarkStart w:id="12" w:name="_huejhy70gmdz" w:colFirst="0" w:colLast="0"/>
      <w:bookmarkEnd w:id="12"/>
      <w:r>
        <w:rPr>
          <w:b/>
          <w:sz w:val="22"/>
          <w:szCs w:val="22"/>
        </w:rPr>
        <w:t>REPUTATIONAL HARM</w:t>
      </w:r>
    </w:p>
    <w:p w14:paraId="00000065" w14:textId="77777777" w:rsidR="0007199B" w:rsidRDefault="00764FD9">
      <w:pPr>
        <w:rPr>
          <w:b/>
        </w:rPr>
      </w:pPr>
      <w:r>
        <w:rPr>
          <w:b/>
        </w:rPr>
        <w:t xml:space="preserve">Do you consider Gold Standard’s existing conditions related </w:t>
      </w:r>
      <w:r>
        <w:rPr>
          <w:b/>
        </w:rPr>
        <w:t xml:space="preserve">to reputational </w:t>
      </w:r>
      <w:proofErr w:type="gramStart"/>
      <w:r>
        <w:rPr>
          <w:b/>
        </w:rPr>
        <w:t>harm</w:t>
      </w:r>
      <w:proofErr w:type="gramEnd"/>
    </w:p>
    <w:p w14:paraId="00000066" w14:textId="77777777" w:rsidR="0007199B" w:rsidRDefault="00764FD9">
      <w:pPr>
        <w:rPr>
          <w:b/>
        </w:rPr>
      </w:pPr>
      <w:proofErr w:type="gramStart"/>
      <w:r>
        <w:rPr>
          <w:b/>
        </w:rPr>
        <w:t>to</w:t>
      </w:r>
      <w:proofErr w:type="gramEnd"/>
      <w:r>
        <w:rPr>
          <w:b/>
        </w:rPr>
        <w:t xml:space="preserve"> be suitable for the act of creating digital tokens representing Gold Standard</w:t>
      </w:r>
    </w:p>
    <w:p w14:paraId="00000067" w14:textId="77777777" w:rsidR="0007199B" w:rsidRDefault="00764FD9">
      <w:r>
        <w:rPr>
          <w:b/>
        </w:rPr>
        <w:t>Credits?</w:t>
      </w:r>
    </w:p>
    <w:p w14:paraId="00000068" w14:textId="77777777" w:rsidR="0007199B" w:rsidRDefault="0007199B"/>
    <w:p w14:paraId="00000069" w14:textId="77777777" w:rsidR="0007199B" w:rsidRDefault="00764FD9">
      <w:r>
        <w:t>-</w:t>
      </w:r>
    </w:p>
    <w:sectPr w:rsidR="0007199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99B"/>
    <w:rsid w:val="0007199B"/>
    <w:rsid w:val="0076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A5F0B5"/>
  <w15:docId w15:val="{C859A777-9F2B-47D5-9AFC-0A8850D7F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10580747FEEB49A6283BF5895AE131" ma:contentTypeVersion="22" ma:contentTypeDescription="Create a new document." ma:contentTypeScope="" ma:versionID="e16f8f185de7e03467e9567ca92d1f68">
  <xsd:schema xmlns:xsd="http://www.w3.org/2001/XMLSchema" xmlns:xs="http://www.w3.org/2001/XMLSchema" xmlns:p="http://schemas.microsoft.com/office/2006/metadata/properties" xmlns:ns2="40ff25b3-493e-4851-82b7-4e504def2eba" xmlns:ns3="c508fc69-c1d3-40c1-8658-917a17ee6113" xmlns:ns4="a057d775-0583-4dcc-9fa0-e815063c935a" targetNamespace="http://schemas.microsoft.com/office/2006/metadata/properties" ma:root="true" ma:fieldsID="cb524feebadaf5d81deb2a98cc2c1efc" ns2:_="" ns3:_="" ns4:_="">
    <xsd:import namespace="40ff25b3-493e-4851-82b7-4e504def2eba"/>
    <xsd:import namespace="c508fc69-c1d3-40c1-8658-917a17ee6113"/>
    <xsd:import namespace="a057d775-0583-4dcc-9fa0-e815063c935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EventHashCode" minOccurs="0"/>
                <xsd:element ref="ns4:MediaServiceGenerationTim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Notes" minOccurs="0"/>
                <xsd:element ref="ns4:Weblink" minOccurs="0"/>
                <xsd:element ref="ns4:Relevance" minOccurs="0"/>
                <xsd:element ref="ns4:MediaLengthInSeconds" minOccurs="0"/>
                <xsd:element ref="ns4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f25b3-493e-4851-82b7-4e504def2e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8" nillable="true" ma:displayName="Taxonomy Catch All Column" ma:hidden="true" ma:list="{6e76a904-278e-435e-b259-2f7e11d2de08}" ma:internalName="TaxCatchAll" ma:showField="CatchAllData" ma:web="40ff25b3-493e-4851-82b7-4e504def2e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8fc69-c1d3-40c1-8658-917a17ee6113" elementFormDefault="qualified">
    <xsd:import namespace="http://schemas.microsoft.com/office/2006/documentManagement/types"/>
    <xsd:import namespace="http://schemas.microsoft.com/office/infopath/2007/PartnerControls"/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7d775-0583-4dcc-9fa0-e815063c93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Notes" ma:index="22" nillable="true" ma:displayName="Notes" ma:default="NA" ma:format="Dropdown" ma:internalName="Notes">
      <xsd:simpleType>
        <xsd:restriction base="dms:Note">
          <xsd:maxLength value="255"/>
        </xsd:restriction>
      </xsd:simpleType>
    </xsd:element>
    <xsd:element name="Weblink" ma:index="23" nillable="true" ma:displayName="Weblink" ma:description="https://www.perspectives.cc/fileadmin/Publications/SEA_Pricing_Study.pdf" ma:format="Hyperlink" ma:internalName="Web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Relevance" ma:index="24" nillable="true" ma:displayName="Relevance" ma:default="Enter Choice #Art 6" ma:internalName="Relevan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ter Choice #Art 6"/>
                    <xsd:enumeration value="Enter Choice #CA"/>
                    <xsd:enumeration value="Enter Choice #SDG"/>
                  </xsd:restriction>
                </xsd:simpleType>
              </xsd:element>
            </xsd:sequence>
          </xsd:extension>
        </xsd:complexContent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c862acf3-5257-4c8e-a7f6-c800878fb9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ff25b3-493e-4851-82b7-4e504def2eba" xsi:nil="true"/>
    <Weblink xmlns="a057d775-0583-4dcc-9fa0-e815063c935a">
      <Url xsi:nil="true"/>
      <Description xsi:nil="true"/>
    </Weblink>
    <Notes xmlns="a057d775-0583-4dcc-9fa0-e815063c935a">NA</Notes>
    <Relevance xmlns="a057d775-0583-4dcc-9fa0-e815063c935a">
      <Value>Enter Choice #Art 6</Value>
    </Relevance>
    <lcf76f155ced4ddcb4097134ff3c332f xmlns="a057d775-0583-4dcc-9fa0-e815063c935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A59171-03CD-4FBE-89F6-F83198872D46}"/>
</file>

<file path=customXml/itemProps2.xml><?xml version="1.0" encoding="utf-8"?>
<ds:datastoreItem xmlns:ds="http://schemas.openxmlformats.org/officeDocument/2006/customXml" ds:itemID="{38993726-E745-4CA2-AFA9-60F1A04BD0E3}"/>
</file>

<file path=customXml/itemProps3.xml><?xml version="1.0" encoding="utf-8"?>
<ds:datastoreItem xmlns:ds="http://schemas.openxmlformats.org/officeDocument/2006/customXml" ds:itemID="{19444EFD-11B8-40BB-9D12-040F12BBC1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Cambridge</Company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Harriet Hunnable</dc:creator>
  <cp:lastModifiedBy>Harriet Hunnable</cp:lastModifiedBy>
  <cp:revision>2</cp:revision>
  <dcterms:created xsi:type="dcterms:W3CDTF">2022-11-02T10:43:00Z</dcterms:created>
  <dcterms:modified xsi:type="dcterms:W3CDTF">2022-11-02T10:43:00Z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0x0101004110580747FEEB49A6283BF5895AE131</vt:lpwstr>
  </property>
</Properties>
</file>