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8F807" w14:textId="61742E6C" w:rsidR="002127F0" w:rsidRDefault="00C348F9">
      <w:pPr>
        <w:spacing w:after="0"/>
        <w:jc w:val="center"/>
        <w:rPr>
          <w:rFonts w:ascii="Arial" w:eastAsia="Arial" w:hAnsi="Arial" w:cs="Arial"/>
          <w:b/>
          <w:sz w:val="20"/>
          <w:szCs w:val="20"/>
          <w:u w:val="single"/>
        </w:rPr>
      </w:pPr>
      <w:r>
        <w:rPr>
          <w:rFonts w:ascii="Arial" w:eastAsia="Arial" w:hAnsi="Arial" w:cs="Arial"/>
          <w:b/>
          <w:sz w:val="20"/>
          <w:szCs w:val="20"/>
          <w:u w:val="single"/>
        </w:rPr>
        <w:t>GOLD STANDARD CONSULTATION ON CONDITIONS FOR CONSENTING TO TOKENISATION OF GOLD STANDARD-ISSUED CREDITS – AIRCARBON RESPONSE</w:t>
      </w:r>
      <w:r w:rsidR="005D67AC">
        <w:rPr>
          <w:rFonts w:ascii="Arial" w:eastAsia="Arial" w:hAnsi="Arial" w:cs="Arial"/>
          <w:b/>
          <w:sz w:val="20"/>
          <w:szCs w:val="20"/>
          <w:u w:val="single"/>
        </w:rPr>
        <w:t>, OCTOBER 27, 2022</w:t>
      </w:r>
      <w:r w:rsidR="003A70DF">
        <w:rPr>
          <w:rFonts w:ascii="Arial" w:eastAsia="Arial" w:hAnsi="Arial" w:cs="Arial"/>
          <w:b/>
          <w:sz w:val="20"/>
          <w:szCs w:val="20"/>
          <w:u w:val="single"/>
        </w:rPr>
        <w:t>, 2:20 p.m. Eastern Time</w:t>
      </w:r>
    </w:p>
    <w:p w14:paraId="4B501084" w14:textId="77777777" w:rsidR="002127F0" w:rsidRDefault="002127F0">
      <w:pPr>
        <w:spacing w:after="0"/>
        <w:rPr>
          <w:rFonts w:ascii="Arial" w:eastAsia="Arial" w:hAnsi="Arial" w:cs="Arial"/>
          <w:sz w:val="20"/>
          <w:szCs w:val="20"/>
        </w:rPr>
      </w:pPr>
    </w:p>
    <w:p w14:paraId="599667FA" w14:textId="77777777" w:rsidR="002127F0" w:rsidRDefault="002127F0">
      <w:pPr>
        <w:spacing w:after="0"/>
        <w:rPr>
          <w:rFonts w:ascii="Arial" w:eastAsia="Arial" w:hAnsi="Arial" w:cs="Arial"/>
          <w:sz w:val="20"/>
          <w:szCs w:val="20"/>
        </w:rPr>
      </w:pPr>
    </w:p>
    <w:tbl>
      <w:tblPr>
        <w:tblStyle w:val="a"/>
        <w:tblW w:w="134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5"/>
        <w:gridCol w:w="6030"/>
        <w:gridCol w:w="6840"/>
      </w:tblGrid>
      <w:tr w:rsidR="002127F0" w14:paraId="0E876CD6" w14:textId="77777777" w:rsidTr="004C17E8">
        <w:trPr>
          <w:cantSplit/>
        </w:trPr>
        <w:tc>
          <w:tcPr>
            <w:tcW w:w="625" w:type="dxa"/>
            <w:shd w:val="clear" w:color="auto" w:fill="BDD6EE" w:themeFill="accent5" w:themeFillTint="66"/>
          </w:tcPr>
          <w:p w14:paraId="7A1FBB5B" w14:textId="77777777" w:rsidR="002127F0" w:rsidRDefault="00000000" w:rsidP="00512BFF">
            <w:pPr>
              <w:spacing w:before="30" w:after="30"/>
              <w:jc w:val="center"/>
              <w:rPr>
                <w:rFonts w:ascii="Arial" w:eastAsia="Arial" w:hAnsi="Arial" w:cs="Arial"/>
                <w:b/>
                <w:sz w:val="20"/>
                <w:szCs w:val="20"/>
              </w:rPr>
            </w:pPr>
            <w:r>
              <w:rPr>
                <w:rFonts w:ascii="Arial" w:eastAsia="Arial" w:hAnsi="Arial" w:cs="Arial"/>
                <w:b/>
                <w:sz w:val="20"/>
                <w:szCs w:val="20"/>
              </w:rPr>
              <w:t>No.</w:t>
            </w:r>
          </w:p>
        </w:tc>
        <w:tc>
          <w:tcPr>
            <w:tcW w:w="6030" w:type="dxa"/>
            <w:shd w:val="clear" w:color="auto" w:fill="BDD6EE" w:themeFill="accent5" w:themeFillTint="66"/>
          </w:tcPr>
          <w:p w14:paraId="2E639496" w14:textId="77777777" w:rsidR="002127F0" w:rsidRDefault="00000000" w:rsidP="00512BFF">
            <w:pPr>
              <w:spacing w:before="30" w:after="30"/>
              <w:rPr>
                <w:rFonts w:ascii="Arial" w:eastAsia="Arial" w:hAnsi="Arial" w:cs="Arial"/>
                <w:b/>
                <w:sz w:val="20"/>
                <w:szCs w:val="20"/>
              </w:rPr>
            </w:pPr>
            <w:r>
              <w:rPr>
                <w:rFonts w:ascii="Arial" w:eastAsia="Arial" w:hAnsi="Arial" w:cs="Arial"/>
                <w:b/>
                <w:sz w:val="20"/>
                <w:szCs w:val="20"/>
              </w:rPr>
              <w:t>Question</w:t>
            </w:r>
          </w:p>
        </w:tc>
        <w:tc>
          <w:tcPr>
            <w:tcW w:w="6840" w:type="dxa"/>
            <w:shd w:val="clear" w:color="auto" w:fill="BDD6EE" w:themeFill="accent5" w:themeFillTint="66"/>
          </w:tcPr>
          <w:p w14:paraId="3D480227" w14:textId="41B4B7DB" w:rsidR="002127F0" w:rsidRDefault="00D54211" w:rsidP="00512BFF">
            <w:pPr>
              <w:spacing w:before="30" w:after="30"/>
              <w:rPr>
                <w:rFonts w:ascii="Arial" w:eastAsia="Arial" w:hAnsi="Arial" w:cs="Arial"/>
                <w:b/>
                <w:sz w:val="20"/>
                <w:szCs w:val="20"/>
              </w:rPr>
            </w:pPr>
            <w:r>
              <w:rPr>
                <w:rFonts w:ascii="Arial" w:eastAsia="Arial" w:hAnsi="Arial" w:cs="Arial"/>
                <w:b/>
                <w:sz w:val="20"/>
                <w:szCs w:val="20"/>
              </w:rPr>
              <w:t xml:space="preserve">  Answer</w:t>
            </w:r>
          </w:p>
        </w:tc>
      </w:tr>
      <w:tr w:rsidR="00691E8E" w14:paraId="5AA0F709" w14:textId="77777777" w:rsidTr="00691E8E">
        <w:trPr>
          <w:cantSplit/>
        </w:trPr>
        <w:tc>
          <w:tcPr>
            <w:tcW w:w="13495" w:type="dxa"/>
            <w:gridSpan w:val="3"/>
            <w:shd w:val="clear" w:color="auto" w:fill="E2EFD9" w:themeFill="accent6" w:themeFillTint="33"/>
          </w:tcPr>
          <w:p w14:paraId="22BA2818" w14:textId="1A7FE85D" w:rsidR="00691E8E" w:rsidRPr="00691E8E" w:rsidRDefault="00691E8E" w:rsidP="00512BFF">
            <w:pPr>
              <w:spacing w:before="30" w:after="30"/>
              <w:rPr>
                <w:rFonts w:ascii="Arial" w:eastAsia="Arial" w:hAnsi="Arial" w:cs="Arial"/>
                <w:b/>
                <w:bCs/>
                <w:sz w:val="20"/>
                <w:szCs w:val="20"/>
              </w:rPr>
            </w:pPr>
            <w:r w:rsidRPr="00691E8E">
              <w:rPr>
                <w:rFonts w:ascii="Arial" w:eastAsia="Arial" w:hAnsi="Arial" w:cs="Arial"/>
                <w:b/>
                <w:bCs/>
                <w:sz w:val="20"/>
                <w:szCs w:val="20"/>
              </w:rPr>
              <w:t>General</w:t>
            </w:r>
          </w:p>
        </w:tc>
      </w:tr>
      <w:tr w:rsidR="002127F0" w14:paraId="5F39C919" w14:textId="77777777" w:rsidTr="004C17E8">
        <w:trPr>
          <w:cantSplit/>
        </w:trPr>
        <w:tc>
          <w:tcPr>
            <w:tcW w:w="625" w:type="dxa"/>
          </w:tcPr>
          <w:p w14:paraId="6C31F7B2" w14:textId="22C4D3C6" w:rsidR="002127F0" w:rsidRDefault="00691E8E" w:rsidP="00512BFF">
            <w:pPr>
              <w:spacing w:before="30" w:after="30"/>
              <w:jc w:val="center"/>
              <w:rPr>
                <w:rFonts w:ascii="Arial" w:eastAsia="Arial" w:hAnsi="Arial" w:cs="Arial"/>
                <w:sz w:val="20"/>
                <w:szCs w:val="20"/>
              </w:rPr>
            </w:pPr>
            <w:r>
              <w:rPr>
                <w:rFonts w:ascii="Arial" w:eastAsia="Arial" w:hAnsi="Arial" w:cs="Arial"/>
                <w:sz w:val="20"/>
                <w:szCs w:val="20"/>
              </w:rPr>
              <w:t>1.</w:t>
            </w:r>
          </w:p>
        </w:tc>
        <w:tc>
          <w:tcPr>
            <w:tcW w:w="6030" w:type="dxa"/>
          </w:tcPr>
          <w:p w14:paraId="7BEC1F02" w14:textId="26A37943" w:rsidR="002127F0" w:rsidRDefault="004C17E8" w:rsidP="00512BFF">
            <w:pPr>
              <w:spacing w:before="30" w:after="30"/>
              <w:rPr>
                <w:rFonts w:ascii="Arial" w:eastAsia="Arial" w:hAnsi="Arial" w:cs="Arial"/>
                <w:sz w:val="20"/>
                <w:szCs w:val="20"/>
              </w:rPr>
            </w:pPr>
            <w:r w:rsidRPr="004C17E8">
              <w:rPr>
                <w:rFonts w:ascii="Arial" w:eastAsia="Arial" w:hAnsi="Arial" w:cs="Arial"/>
                <w:sz w:val="20"/>
                <w:szCs w:val="20"/>
              </w:rPr>
              <w:t>Do you agree that Gold Standard should explore and enable organisations to</w:t>
            </w:r>
            <w:r>
              <w:rPr>
                <w:rFonts w:ascii="Arial" w:eastAsia="Arial" w:hAnsi="Arial" w:cs="Arial"/>
                <w:sz w:val="20"/>
                <w:szCs w:val="20"/>
              </w:rPr>
              <w:t xml:space="preserve"> </w:t>
            </w:r>
            <w:r w:rsidRPr="004C17E8">
              <w:rPr>
                <w:rFonts w:ascii="Arial" w:eastAsia="Arial" w:hAnsi="Arial" w:cs="Arial"/>
                <w:sz w:val="20"/>
                <w:szCs w:val="20"/>
              </w:rPr>
              <w:t>create digital tokens representing Gold Standard credits, using blockchain</w:t>
            </w:r>
            <w:r>
              <w:rPr>
                <w:rFonts w:ascii="Arial" w:eastAsia="Arial" w:hAnsi="Arial" w:cs="Arial"/>
                <w:sz w:val="20"/>
                <w:szCs w:val="20"/>
              </w:rPr>
              <w:t xml:space="preserve"> </w:t>
            </w:r>
            <w:r w:rsidRPr="004C17E8">
              <w:rPr>
                <w:rFonts w:ascii="Arial" w:eastAsia="Arial" w:hAnsi="Arial" w:cs="Arial"/>
                <w:sz w:val="20"/>
                <w:szCs w:val="20"/>
              </w:rPr>
              <w:t>technology? Why?</w:t>
            </w:r>
          </w:p>
        </w:tc>
        <w:tc>
          <w:tcPr>
            <w:tcW w:w="6840" w:type="dxa"/>
          </w:tcPr>
          <w:p w14:paraId="2A5D7AB9" w14:textId="2C101AA1" w:rsidR="002127F0" w:rsidRDefault="001E32D5" w:rsidP="00512BFF">
            <w:pPr>
              <w:spacing w:before="30" w:after="30"/>
              <w:rPr>
                <w:rFonts w:ascii="Arial" w:eastAsia="Arial" w:hAnsi="Arial" w:cs="Arial"/>
                <w:sz w:val="20"/>
                <w:szCs w:val="20"/>
              </w:rPr>
            </w:pPr>
            <w:r>
              <w:rPr>
                <w:rFonts w:ascii="Arial" w:eastAsia="Arial" w:hAnsi="Arial" w:cs="Arial"/>
                <w:sz w:val="20"/>
                <w:szCs w:val="20"/>
              </w:rPr>
              <w:t xml:space="preserve">Yes. Blockchain technology enables </w:t>
            </w:r>
            <w:proofErr w:type="gramStart"/>
            <w:r>
              <w:rPr>
                <w:rFonts w:ascii="Arial" w:eastAsia="Arial" w:hAnsi="Arial" w:cs="Arial"/>
                <w:sz w:val="20"/>
                <w:szCs w:val="20"/>
              </w:rPr>
              <w:t>a high level</w:t>
            </w:r>
            <w:proofErr w:type="gramEnd"/>
            <w:r>
              <w:rPr>
                <w:rFonts w:ascii="Arial" w:eastAsia="Arial" w:hAnsi="Arial" w:cs="Arial"/>
                <w:sz w:val="20"/>
                <w:szCs w:val="20"/>
              </w:rPr>
              <w:t xml:space="preserve"> of security and efficiency as well as potential new functionalities that traditional technology cannot provide</w:t>
            </w:r>
            <w:r w:rsidR="00903120">
              <w:rPr>
                <w:rFonts w:ascii="Arial" w:eastAsia="Arial" w:hAnsi="Arial" w:cs="Arial"/>
                <w:sz w:val="20"/>
                <w:szCs w:val="20"/>
              </w:rPr>
              <w:t xml:space="preserve">. </w:t>
            </w:r>
            <w:r w:rsidR="002C5E69">
              <w:rPr>
                <w:rFonts w:ascii="Arial" w:eastAsia="Arial" w:hAnsi="Arial" w:cs="Arial"/>
                <w:sz w:val="20"/>
                <w:szCs w:val="20"/>
              </w:rPr>
              <w:t xml:space="preserve">On </w:t>
            </w:r>
            <w:r w:rsidR="00FA36BE">
              <w:rPr>
                <w:rFonts w:ascii="Arial" w:eastAsia="Arial" w:hAnsi="Arial" w:cs="Arial"/>
                <w:sz w:val="20"/>
                <w:szCs w:val="20"/>
              </w:rPr>
              <w:t>chain records enhance transparency an</w:t>
            </w:r>
            <w:r w:rsidR="00892F4E">
              <w:rPr>
                <w:rFonts w:ascii="Arial" w:eastAsia="Arial" w:hAnsi="Arial" w:cs="Arial"/>
                <w:sz w:val="20"/>
                <w:szCs w:val="20"/>
              </w:rPr>
              <w:t>d confidence in the registrar.</w:t>
            </w:r>
          </w:p>
        </w:tc>
      </w:tr>
      <w:tr w:rsidR="002127F0" w14:paraId="3C99EC8C" w14:textId="77777777" w:rsidTr="004C17E8">
        <w:trPr>
          <w:cantSplit/>
        </w:trPr>
        <w:tc>
          <w:tcPr>
            <w:tcW w:w="625" w:type="dxa"/>
          </w:tcPr>
          <w:p w14:paraId="46E49F45" w14:textId="649066FA" w:rsidR="002127F0" w:rsidRDefault="00691E8E" w:rsidP="00512BFF">
            <w:pPr>
              <w:spacing w:before="30" w:after="30"/>
              <w:jc w:val="center"/>
              <w:rPr>
                <w:rFonts w:ascii="Arial" w:eastAsia="Arial" w:hAnsi="Arial" w:cs="Arial"/>
                <w:sz w:val="20"/>
                <w:szCs w:val="20"/>
              </w:rPr>
            </w:pPr>
            <w:r>
              <w:rPr>
                <w:rFonts w:ascii="Arial" w:eastAsia="Arial" w:hAnsi="Arial" w:cs="Arial"/>
                <w:sz w:val="20"/>
                <w:szCs w:val="20"/>
              </w:rPr>
              <w:t>2.</w:t>
            </w:r>
          </w:p>
        </w:tc>
        <w:tc>
          <w:tcPr>
            <w:tcW w:w="6030" w:type="dxa"/>
          </w:tcPr>
          <w:p w14:paraId="77F33933" w14:textId="5841A76A" w:rsidR="002127F0" w:rsidRDefault="004C17E8" w:rsidP="00512BFF">
            <w:pPr>
              <w:spacing w:before="30" w:after="30"/>
              <w:rPr>
                <w:rFonts w:ascii="Arial" w:eastAsia="Arial" w:hAnsi="Arial" w:cs="Arial"/>
                <w:sz w:val="20"/>
                <w:szCs w:val="20"/>
              </w:rPr>
            </w:pPr>
            <w:r w:rsidRPr="004C17E8">
              <w:rPr>
                <w:rFonts w:ascii="Arial" w:eastAsia="Arial" w:hAnsi="Arial" w:cs="Arial"/>
                <w:sz w:val="20"/>
                <w:szCs w:val="20"/>
              </w:rPr>
              <w:t>Do you consider there to be potential advantages or</w:t>
            </w:r>
            <w:r>
              <w:rPr>
                <w:rFonts w:ascii="Arial" w:eastAsia="Arial" w:hAnsi="Arial" w:cs="Arial"/>
                <w:sz w:val="20"/>
                <w:szCs w:val="20"/>
              </w:rPr>
              <w:t xml:space="preserve"> </w:t>
            </w:r>
            <w:r w:rsidRPr="004C17E8">
              <w:rPr>
                <w:rFonts w:ascii="Arial" w:eastAsia="Arial" w:hAnsi="Arial" w:cs="Arial"/>
                <w:sz w:val="20"/>
                <w:szCs w:val="20"/>
              </w:rPr>
              <w:t>disadvantages for your</w:t>
            </w:r>
            <w:r>
              <w:rPr>
                <w:rFonts w:ascii="Arial" w:eastAsia="Arial" w:hAnsi="Arial" w:cs="Arial"/>
                <w:sz w:val="20"/>
                <w:szCs w:val="20"/>
              </w:rPr>
              <w:t xml:space="preserve"> </w:t>
            </w:r>
            <w:r w:rsidRPr="004C17E8">
              <w:rPr>
                <w:rFonts w:ascii="Arial" w:eastAsia="Arial" w:hAnsi="Arial" w:cs="Arial"/>
                <w:sz w:val="20"/>
                <w:szCs w:val="20"/>
              </w:rPr>
              <w:t>organisation if this were enabled?</w:t>
            </w:r>
          </w:p>
        </w:tc>
        <w:tc>
          <w:tcPr>
            <w:tcW w:w="6840" w:type="dxa"/>
          </w:tcPr>
          <w:p w14:paraId="47525529" w14:textId="5537CD5C" w:rsidR="002127F0" w:rsidRDefault="001E32D5" w:rsidP="00512BFF">
            <w:pPr>
              <w:spacing w:before="30" w:after="30"/>
              <w:rPr>
                <w:rFonts w:ascii="Arial" w:eastAsia="Arial" w:hAnsi="Arial" w:cs="Arial"/>
                <w:sz w:val="20"/>
                <w:szCs w:val="20"/>
              </w:rPr>
            </w:pPr>
            <w:r>
              <w:rPr>
                <w:rFonts w:ascii="Arial" w:eastAsia="Arial" w:hAnsi="Arial" w:cs="Arial"/>
                <w:sz w:val="20"/>
                <w:szCs w:val="20"/>
              </w:rPr>
              <w:t xml:space="preserve">The AirCarbon Exchange </w:t>
            </w:r>
            <w:r w:rsidR="00F00108">
              <w:rPr>
                <w:rFonts w:ascii="Arial" w:eastAsia="Arial" w:hAnsi="Arial" w:cs="Arial"/>
                <w:sz w:val="20"/>
                <w:szCs w:val="20"/>
              </w:rPr>
              <w:t xml:space="preserve">(ACX) </w:t>
            </w:r>
            <w:r>
              <w:rPr>
                <w:rFonts w:ascii="Arial" w:eastAsia="Arial" w:hAnsi="Arial" w:cs="Arial"/>
                <w:sz w:val="20"/>
                <w:szCs w:val="20"/>
              </w:rPr>
              <w:t>utilizes blockchain technology and is demonstrating first-hand the benefits this technology can bring to the carbon markets</w:t>
            </w:r>
            <w:r w:rsidR="00903120">
              <w:rPr>
                <w:rFonts w:ascii="Arial" w:eastAsia="Arial" w:hAnsi="Arial" w:cs="Arial"/>
                <w:sz w:val="20"/>
                <w:szCs w:val="20"/>
              </w:rPr>
              <w:t xml:space="preserve">. </w:t>
            </w:r>
            <w:r w:rsidR="00892F4E">
              <w:rPr>
                <w:rFonts w:ascii="Arial" w:eastAsia="Arial" w:hAnsi="Arial" w:cs="Arial"/>
                <w:sz w:val="20"/>
                <w:szCs w:val="20"/>
              </w:rPr>
              <w:t xml:space="preserve">We are doing so within a </w:t>
            </w:r>
            <w:r w:rsidR="00FA658C">
              <w:rPr>
                <w:rFonts w:ascii="Arial" w:eastAsia="Arial" w:hAnsi="Arial" w:cs="Arial"/>
                <w:sz w:val="20"/>
                <w:szCs w:val="20"/>
              </w:rPr>
              <w:t>fully permissioned environment; meaning that the partici</w:t>
            </w:r>
            <w:r w:rsidR="002825DE">
              <w:rPr>
                <w:rFonts w:ascii="Arial" w:eastAsia="Arial" w:hAnsi="Arial" w:cs="Arial"/>
                <w:sz w:val="20"/>
                <w:szCs w:val="20"/>
              </w:rPr>
              <w:t>pants are all vetted with strict KYC/AML regime</w:t>
            </w:r>
            <w:r w:rsidR="00903120">
              <w:rPr>
                <w:rFonts w:ascii="Arial" w:eastAsia="Arial" w:hAnsi="Arial" w:cs="Arial"/>
                <w:sz w:val="20"/>
                <w:szCs w:val="20"/>
              </w:rPr>
              <w:t xml:space="preserve">. </w:t>
            </w:r>
            <w:r w:rsidR="008D59C2">
              <w:rPr>
                <w:rFonts w:ascii="Arial" w:eastAsia="Arial" w:hAnsi="Arial" w:cs="Arial"/>
                <w:sz w:val="20"/>
                <w:szCs w:val="20"/>
              </w:rPr>
              <w:t>Our open-source and independently audited</w:t>
            </w:r>
            <w:r w:rsidR="002825DE">
              <w:rPr>
                <w:rFonts w:ascii="Arial" w:eastAsia="Arial" w:hAnsi="Arial" w:cs="Arial"/>
                <w:sz w:val="20"/>
                <w:szCs w:val="20"/>
              </w:rPr>
              <w:t xml:space="preserve"> </w:t>
            </w:r>
            <w:r w:rsidR="004E5B02">
              <w:rPr>
                <w:rFonts w:ascii="Arial" w:eastAsia="Arial" w:hAnsi="Arial" w:cs="Arial"/>
                <w:sz w:val="20"/>
                <w:szCs w:val="20"/>
              </w:rPr>
              <w:t>smart contract allows for immediate settlement of all transaction</w:t>
            </w:r>
            <w:r w:rsidR="008D59C2">
              <w:rPr>
                <w:rFonts w:ascii="Arial" w:eastAsia="Arial" w:hAnsi="Arial" w:cs="Arial"/>
                <w:sz w:val="20"/>
                <w:szCs w:val="20"/>
              </w:rPr>
              <w:t>s.</w:t>
            </w:r>
          </w:p>
        </w:tc>
      </w:tr>
      <w:tr w:rsidR="002127F0" w14:paraId="602AFC04" w14:textId="77777777" w:rsidTr="004C17E8">
        <w:trPr>
          <w:cantSplit/>
        </w:trPr>
        <w:tc>
          <w:tcPr>
            <w:tcW w:w="625" w:type="dxa"/>
          </w:tcPr>
          <w:p w14:paraId="78148ADA" w14:textId="2CADDB29" w:rsidR="002127F0" w:rsidRDefault="00691E8E" w:rsidP="00512BFF">
            <w:pPr>
              <w:spacing w:before="30" w:after="30"/>
              <w:jc w:val="center"/>
              <w:rPr>
                <w:rFonts w:ascii="Arial" w:eastAsia="Arial" w:hAnsi="Arial" w:cs="Arial"/>
                <w:sz w:val="20"/>
                <w:szCs w:val="20"/>
              </w:rPr>
            </w:pPr>
            <w:r>
              <w:rPr>
                <w:rFonts w:ascii="Arial" w:eastAsia="Arial" w:hAnsi="Arial" w:cs="Arial"/>
                <w:sz w:val="20"/>
                <w:szCs w:val="20"/>
              </w:rPr>
              <w:t>3.</w:t>
            </w:r>
          </w:p>
        </w:tc>
        <w:tc>
          <w:tcPr>
            <w:tcW w:w="6030" w:type="dxa"/>
          </w:tcPr>
          <w:p w14:paraId="27E70CF2" w14:textId="32889C0C" w:rsidR="002127F0" w:rsidRDefault="004C17E8" w:rsidP="00512BFF">
            <w:pPr>
              <w:spacing w:before="30" w:after="30"/>
              <w:rPr>
                <w:rFonts w:ascii="Arial" w:eastAsia="Arial" w:hAnsi="Arial" w:cs="Arial"/>
                <w:sz w:val="20"/>
                <w:szCs w:val="20"/>
              </w:rPr>
            </w:pPr>
            <w:r w:rsidRPr="004C17E8">
              <w:rPr>
                <w:rFonts w:ascii="Arial" w:eastAsia="Arial" w:hAnsi="Arial" w:cs="Arial"/>
                <w:sz w:val="20"/>
                <w:szCs w:val="20"/>
              </w:rPr>
              <w:t>Would you like to share any additional comments not covered by questions</w:t>
            </w:r>
            <w:r>
              <w:rPr>
                <w:rFonts w:ascii="Arial" w:eastAsia="Arial" w:hAnsi="Arial" w:cs="Arial"/>
                <w:sz w:val="20"/>
                <w:szCs w:val="20"/>
              </w:rPr>
              <w:t xml:space="preserve"> </w:t>
            </w:r>
            <w:r w:rsidRPr="004C17E8">
              <w:rPr>
                <w:rFonts w:ascii="Arial" w:eastAsia="Arial" w:hAnsi="Arial" w:cs="Arial"/>
                <w:sz w:val="20"/>
                <w:szCs w:val="20"/>
              </w:rPr>
              <w:t>included in this consultation?</w:t>
            </w:r>
          </w:p>
        </w:tc>
        <w:tc>
          <w:tcPr>
            <w:tcW w:w="6840" w:type="dxa"/>
          </w:tcPr>
          <w:p w14:paraId="4644A4B5" w14:textId="7A43B84A" w:rsidR="009B5935" w:rsidRDefault="00F72030" w:rsidP="00512BFF">
            <w:pPr>
              <w:spacing w:before="30" w:after="30"/>
              <w:rPr>
                <w:rFonts w:ascii="Arial" w:eastAsia="Arial" w:hAnsi="Arial" w:cs="Arial"/>
                <w:sz w:val="20"/>
                <w:szCs w:val="20"/>
              </w:rPr>
            </w:pPr>
            <w:r>
              <w:rPr>
                <w:rFonts w:ascii="Arial" w:eastAsia="Arial" w:hAnsi="Arial" w:cs="Arial"/>
                <w:sz w:val="20"/>
                <w:szCs w:val="20"/>
              </w:rPr>
              <w:t xml:space="preserve">When looking at tokenization, </w:t>
            </w:r>
            <w:r w:rsidR="005D67AC">
              <w:rPr>
                <w:rFonts w:ascii="Arial" w:eastAsia="Arial" w:hAnsi="Arial" w:cs="Arial"/>
                <w:sz w:val="20"/>
                <w:szCs w:val="20"/>
              </w:rPr>
              <w:t>Gold Standard (</w:t>
            </w:r>
            <w:r w:rsidR="0039721F">
              <w:rPr>
                <w:rFonts w:ascii="Arial" w:eastAsia="Arial" w:hAnsi="Arial" w:cs="Arial"/>
                <w:sz w:val="20"/>
                <w:szCs w:val="20"/>
              </w:rPr>
              <w:t>GS</w:t>
            </w:r>
            <w:r w:rsidR="005D67AC">
              <w:rPr>
                <w:rFonts w:ascii="Arial" w:eastAsia="Arial" w:hAnsi="Arial" w:cs="Arial"/>
                <w:sz w:val="20"/>
                <w:szCs w:val="20"/>
              </w:rPr>
              <w:t>)</w:t>
            </w:r>
            <w:r w:rsidR="0039721F">
              <w:rPr>
                <w:rFonts w:ascii="Arial" w:eastAsia="Arial" w:hAnsi="Arial" w:cs="Arial"/>
                <w:sz w:val="20"/>
                <w:szCs w:val="20"/>
              </w:rPr>
              <w:t xml:space="preserve"> must be </w:t>
            </w:r>
            <w:r w:rsidR="00E531E6">
              <w:rPr>
                <w:rFonts w:ascii="Arial" w:eastAsia="Arial" w:hAnsi="Arial" w:cs="Arial"/>
                <w:sz w:val="20"/>
                <w:szCs w:val="20"/>
              </w:rPr>
              <w:t>wary</w:t>
            </w:r>
            <w:r w:rsidR="0039721F">
              <w:rPr>
                <w:rFonts w:ascii="Arial" w:eastAsia="Arial" w:hAnsi="Arial" w:cs="Arial"/>
                <w:sz w:val="20"/>
                <w:szCs w:val="20"/>
              </w:rPr>
              <w:t xml:space="preserve"> of any pote</w:t>
            </w:r>
            <w:r w:rsidR="00157693">
              <w:rPr>
                <w:rFonts w:ascii="Arial" w:eastAsia="Arial" w:hAnsi="Arial" w:cs="Arial"/>
                <w:sz w:val="20"/>
                <w:szCs w:val="20"/>
              </w:rPr>
              <w:t>ntial token issuer that has a “native coin” within their ecosystem</w:t>
            </w:r>
            <w:r w:rsidR="00956935">
              <w:rPr>
                <w:rFonts w:ascii="Arial" w:eastAsia="Arial" w:hAnsi="Arial" w:cs="Arial"/>
                <w:sz w:val="20"/>
                <w:szCs w:val="20"/>
              </w:rPr>
              <w:t xml:space="preserve"> (e.g.: </w:t>
            </w:r>
            <w:r w:rsidR="00DA7D68">
              <w:rPr>
                <w:rFonts w:ascii="Arial" w:eastAsia="Arial" w:hAnsi="Arial" w:cs="Arial"/>
                <w:sz w:val="20"/>
                <w:szCs w:val="20"/>
              </w:rPr>
              <w:t>Klima</w:t>
            </w:r>
            <w:r w:rsidR="00956935">
              <w:rPr>
                <w:rFonts w:ascii="Arial" w:eastAsia="Arial" w:hAnsi="Arial" w:cs="Arial"/>
                <w:sz w:val="20"/>
                <w:szCs w:val="20"/>
              </w:rPr>
              <w:t>)</w:t>
            </w:r>
            <w:r w:rsidR="00903120">
              <w:rPr>
                <w:rFonts w:ascii="Arial" w:eastAsia="Arial" w:hAnsi="Arial" w:cs="Arial"/>
                <w:sz w:val="20"/>
                <w:szCs w:val="20"/>
              </w:rPr>
              <w:t xml:space="preserve">. </w:t>
            </w:r>
            <w:r w:rsidR="00956935">
              <w:rPr>
                <w:rFonts w:ascii="Arial" w:eastAsia="Arial" w:hAnsi="Arial" w:cs="Arial"/>
                <w:sz w:val="20"/>
                <w:szCs w:val="20"/>
              </w:rPr>
              <w:t xml:space="preserve">The sponsor of the native coin </w:t>
            </w:r>
            <w:r w:rsidR="00AD7A80">
              <w:rPr>
                <w:rFonts w:ascii="Arial" w:eastAsia="Arial" w:hAnsi="Arial" w:cs="Arial"/>
                <w:sz w:val="20"/>
                <w:szCs w:val="20"/>
              </w:rPr>
              <w:t>has</w:t>
            </w:r>
            <w:r w:rsidR="00956935">
              <w:rPr>
                <w:rFonts w:ascii="Arial" w:eastAsia="Arial" w:hAnsi="Arial" w:cs="Arial"/>
                <w:sz w:val="20"/>
                <w:szCs w:val="20"/>
              </w:rPr>
              <w:t xml:space="preserve"> a perverse incentive to </w:t>
            </w:r>
            <w:r w:rsidR="00354238">
              <w:rPr>
                <w:rFonts w:ascii="Arial" w:eastAsia="Arial" w:hAnsi="Arial" w:cs="Arial"/>
                <w:sz w:val="20"/>
                <w:szCs w:val="20"/>
              </w:rPr>
              <w:t xml:space="preserve">increase the value of their </w:t>
            </w:r>
            <w:r w:rsidR="00A12E8E">
              <w:rPr>
                <w:rFonts w:ascii="Arial" w:eastAsia="Arial" w:hAnsi="Arial" w:cs="Arial"/>
                <w:sz w:val="20"/>
                <w:szCs w:val="20"/>
              </w:rPr>
              <w:t>coin,</w:t>
            </w:r>
            <w:r w:rsidR="00354238">
              <w:rPr>
                <w:rFonts w:ascii="Arial" w:eastAsia="Arial" w:hAnsi="Arial" w:cs="Arial"/>
                <w:sz w:val="20"/>
                <w:szCs w:val="20"/>
              </w:rPr>
              <w:t xml:space="preserve"> many times at the expense of </w:t>
            </w:r>
            <w:r w:rsidR="0075495A">
              <w:rPr>
                <w:rFonts w:ascii="Arial" w:eastAsia="Arial" w:hAnsi="Arial" w:cs="Arial"/>
                <w:sz w:val="20"/>
                <w:szCs w:val="20"/>
              </w:rPr>
              <w:t xml:space="preserve">the </w:t>
            </w:r>
            <w:r w:rsidR="00716C48">
              <w:rPr>
                <w:rFonts w:ascii="Arial" w:eastAsia="Arial" w:hAnsi="Arial" w:cs="Arial"/>
                <w:sz w:val="20"/>
                <w:szCs w:val="20"/>
              </w:rPr>
              <w:t xml:space="preserve">underlying </w:t>
            </w:r>
            <w:r w:rsidR="0075495A">
              <w:rPr>
                <w:rFonts w:ascii="Arial" w:eastAsia="Arial" w:hAnsi="Arial" w:cs="Arial"/>
                <w:sz w:val="20"/>
                <w:szCs w:val="20"/>
              </w:rPr>
              <w:t>GS credit.</w:t>
            </w:r>
          </w:p>
          <w:p w14:paraId="2234D70E" w14:textId="1D92A96B" w:rsidR="00716C48" w:rsidRDefault="00716C48" w:rsidP="00512BFF">
            <w:pPr>
              <w:spacing w:before="30" w:after="30"/>
              <w:rPr>
                <w:rFonts w:ascii="Arial" w:eastAsia="Arial" w:hAnsi="Arial" w:cs="Arial"/>
                <w:sz w:val="20"/>
                <w:szCs w:val="20"/>
              </w:rPr>
            </w:pPr>
          </w:p>
        </w:tc>
      </w:tr>
      <w:tr w:rsidR="002127F0" w14:paraId="6C9C428E" w14:textId="77777777" w:rsidTr="004C17E8">
        <w:trPr>
          <w:cantSplit/>
        </w:trPr>
        <w:tc>
          <w:tcPr>
            <w:tcW w:w="625" w:type="dxa"/>
          </w:tcPr>
          <w:p w14:paraId="6C130DAD" w14:textId="239A7552" w:rsidR="002127F0" w:rsidRDefault="00691E8E" w:rsidP="00512BFF">
            <w:pPr>
              <w:spacing w:before="30" w:after="30"/>
              <w:jc w:val="center"/>
              <w:rPr>
                <w:rFonts w:ascii="Arial" w:eastAsia="Arial" w:hAnsi="Arial" w:cs="Arial"/>
                <w:sz w:val="20"/>
                <w:szCs w:val="20"/>
              </w:rPr>
            </w:pPr>
            <w:r>
              <w:rPr>
                <w:rFonts w:ascii="Arial" w:eastAsia="Arial" w:hAnsi="Arial" w:cs="Arial"/>
                <w:sz w:val="20"/>
                <w:szCs w:val="20"/>
              </w:rPr>
              <w:t>4.</w:t>
            </w:r>
          </w:p>
        </w:tc>
        <w:tc>
          <w:tcPr>
            <w:tcW w:w="6030" w:type="dxa"/>
          </w:tcPr>
          <w:p w14:paraId="5BFDC8EB" w14:textId="4AE838C6" w:rsidR="002127F0" w:rsidRDefault="004C17E8" w:rsidP="00512BFF">
            <w:pPr>
              <w:spacing w:before="30" w:after="30"/>
              <w:rPr>
                <w:rFonts w:ascii="Arial" w:eastAsia="Arial" w:hAnsi="Arial" w:cs="Arial"/>
                <w:sz w:val="20"/>
                <w:szCs w:val="20"/>
              </w:rPr>
            </w:pPr>
            <w:r w:rsidRPr="004C17E8">
              <w:rPr>
                <w:rFonts w:ascii="Arial" w:eastAsia="Arial" w:hAnsi="Arial" w:cs="Arial"/>
                <w:sz w:val="20"/>
                <w:szCs w:val="20"/>
              </w:rPr>
              <w:t>Do you consider there to be uses of blockchain technology that should be</w:t>
            </w:r>
            <w:r>
              <w:rPr>
                <w:rFonts w:ascii="Arial" w:eastAsia="Arial" w:hAnsi="Arial" w:cs="Arial"/>
                <w:sz w:val="20"/>
                <w:szCs w:val="20"/>
              </w:rPr>
              <w:t xml:space="preserve"> </w:t>
            </w:r>
            <w:r w:rsidRPr="004C17E8">
              <w:rPr>
                <w:rFonts w:ascii="Arial" w:eastAsia="Arial" w:hAnsi="Arial" w:cs="Arial"/>
                <w:sz w:val="20"/>
                <w:szCs w:val="20"/>
              </w:rPr>
              <w:t>distinguished and treated differently from others?</w:t>
            </w:r>
          </w:p>
        </w:tc>
        <w:tc>
          <w:tcPr>
            <w:tcW w:w="6840" w:type="dxa"/>
          </w:tcPr>
          <w:p w14:paraId="3211B6BD" w14:textId="513AD430" w:rsidR="002127F0" w:rsidRDefault="007F2353" w:rsidP="00512BFF">
            <w:pPr>
              <w:spacing w:before="30" w:after="30"/>
              <w:rPr>
                <w:rFonts w:ascii="Arial" w:eastAsia="Arial" w:hAnsi="Arial" w:cs="Arial"/>
                <w:sz w:val="20"/>
                <w:szCs w:val="20"/>
              </w:rPr>
            </w:pPr>
            <w:r>
              <w:rPr>
                <w:rFonts w:ascii="Arial" w:eastAsia="Arial" w:hAnsi="Arial" w:cs="Arial"/>
                <w:sz w:val="20"/>
                <w:szCs w:val="20"/>
              </w:rPr>
              <w:t>Broadly speaking, we are of the view that permissioned blockchain environments should be differentiated from non-permissioned blockchain environments</w:t>
            </w:r>
            <w:r w:rsidR="00903120">
              <w:rPr>
                <w:rFonts w:ascii="Arial" w:eastAsia="Arial" w:hAnsi="Arial" w:cs="Arial"/>
                <w:sz w:val="20"/>
                <w:szCs w:val="20"/>
              </w:rPr>
              <w:t xml:space="preserve">. </w:t>
            </w:r>
            <w:r w:rsidR="00FD010A">
              <w:rPr>
                <w:rFonts w:ascii="Arial" w:eastAsia="Arial" w:hAnsi="Arial" w:cs="Arial"/>
                <w:sz w:val="20"/>
                <w:szCs w:val="20"/>
              </w:rPr>
              <w:t xml:space="preserve">A permissioned environment, such as AirCarbon, does not allow for the tokens to “live” outside of </w:t>
            </w:r>
            <w:r w:rsidR="001C2FA9">
              <w:rPr>
                <w:rFonts w:ascii="Arial" w:eastAsia="Arial" w:hAnsi="Arial" w:cs="Arial"/>
                <w:sz w:val="20"/>
                <w:szCs w:val="20"/>
              </w:rPr>
              <w:t>its ecosystem</w:t>
            </w:r>
            <w:r w:rsidR="00903120">
              <w:rPr>
                <w:rFonts w:ascii="Arial" w:eastAsia="Arial" w:hAnsi="Arial" w:cs="Arial"/>
                <w:sz w:val="20"/>
                <w:szCs w:val="20"/>
              </w:rPr>
              <w:t xml:space="preserve">. </w:t>
            </w:r>
            <w:r w:rsidR="001C2FA9">
              <w:rPr>
                <w:rFonts w:ascii="Arial" w:eastAsia="Arial" w:hAnsi="Arial" w:cs="Arial"/>
                <w:sz w:val="20"/>
                <w:szCs w:val="20"/>
              </w:rPr>
              <w:t xml:space="preserve">In addition, the members of ACX are all fully KYC/AML </w:t>
            </w:r>
            <w:r w:rsidR="007A4D5D">
              <w:rPr>
                <w:rFonts w:ascii="Arial" w:eastAsia="Arial" w:hAnsi="Arial" w:cs="Arial"/>
                <w:sz w:val="20"/>
                <w:szCs w:val="20"/>
              </w:rPr>
              <w:t>checked and do not include any retail investors</w:t>
            </w:r>
            <w:r w:rsidR="009B0CE6">
              <w:rPr>
                <w:rFonts w:ascii="Arial" w:eastAsia="Arial" w:hAnsi="Arial" w:cs="Arial"/>
                <w:sz w:val="20"/>
                <w:szCs w:val="20"/>
              </w:rPr>
              <w:t>.</w:t>
            </w:r>
            <w:r w:rsidR="008D59C2">
              <w:rPr>
                <w:rFonts w:ascii="Arial" w:eastAsia="Arial" w:hAnsi="Arial" w:cs="Arial"/>
                <w:sz w:val="20"/>
                <w:szCs w:val="20"/>
              </w:rPr>
              <w:t xml:space="preserve"> </w:t>
            </w:r>
          </w:p>
        </w:tc>
      </w:tr>
      <w:tr w:rsidR="00691E8E" w14:paraId="3C71EFC7" w14:textId="77777777" w:rsidTr="00691E8E">
        <w:trPr>
          <w:cantSplit/>
        </w:trPr>
        <w:tc>
          <w:tcPr>
            <w:tcW w:w="13495" w:type="dxa"/>
            <w:gridSpan w:val="3"/>
            <w:shd w:val="clear" w:color="auto" w:fill="E2EFD9" w:themeFill="accent6" w:themeFillTint="33"/>
          </w:tcPr>
          <w:p w14:paraId="1820C6A9" w14:textId="01A46FD0" w:rsidR="00691E8E" w:rsidRPr="00691E8E" w:rsidRDefault="00691E8E" w:rsidP="00512BFF">
            <w:pPr>
              <w:spacing w:before="30" w:after="30"/>
              <w:rPr>
                <w:rFonts w:ascii="Arial" w:eastAsia="Arial" w:hAnsi="Arial" w:cs="Arial"/>
                <w:b/>
                <w:bCs/>
                <w:sz w:val="20"/>
                <w:szCs w:val="20"/>
              </w:rPr>
            </w:pPr>
            <w:r>
              <w:rPr>
                <w:rFonts w:ascii="Arial" w:eastAsia="Arial" w:hAnsi="Arial" w:cs="Arial"/>
                <w:b/>
                <w:bCs/>
                <w:sz w:val="20"/>
                <w:szCs w:val="20"/>
              </w:rPr>
              <w:t>2.1 Model</w:t>
            </w:r>
          </w:p>
        </w:tc>
      </w:tr>
      <w:tr w:rsidR="00691E8E" w14:paraId="3313A51B" w14:textId="77777777" w:rsidTr="004C17E8">
        <w:trPr>
          <w:cantSplit/>
        </w:trPr>
        <w:tc>
          <w:tcPr>
            <w:tcW w:w="625" w:type="dxa"/>
          </w:tcPr>
          <w:p w14:paraId="33DC5739" w14:textId="1EB3EFC1" w:rsidR="00691E8E" w:rsidRDefault="00691E8E" w:rsidP="00512BFF">
            <w:pPr>
              <w:spacing w:before="30" w:after="30"/>
              <w:jc w:val="center"/>
              <w:rPr>
                <w:rFonts w:ascii="Arial" w:eastAsia="Arial" w:hAnsi="Arial" w:cs="Arial"/>
                <w:sz w:val="20"/>
                <w:szCs w:val="20"/>
              </w:rPr>
            </w:pPr>
            <w:r>
              <w:rPr>
                <w:rFonts w:ascii="Arial" w:eastAsia="Arial" w:hAnsi="Arial" w:cs="Arial"/>
                <w:sz w:val="20"/>
                <w:szCs w:val="20"/>
              </w:rPr>
              <w:t>1.</w:t>
            </w:r>
          </w:p>
        </w:tc>
        <w:tc>
          <w:tcPr>
            <w:tcW w:w="6030" w:type="dxa"/>
          </w:tcPr>
          <w:p w14:paraId="270AF50F" w14:textId="10EF3DBA" w:rsidR="00691E8E" w:rsidRDefault="004C17E8" w:rsidP="00512BFF">
            <w:pPr>
              <w:spacing w:before="30" w:after="30"/>
              <w:rPr>
                <w:rFonts w:ascii="Arial" w:eastAsia="Arial" w:hAnsi="Arial" w:cs="Arial"/>
                <w:sz w:val="20"/>
                <w:szCs w:val="20"/>
              </w:rPr>
            </w:pPr>
            <w:r w:rsidRPr="004C17E8">
              <w:rPr>
                <w:rFonts w:ascii="Arial" w:eastAsia="Arial" w:hAnsi="Arial" w:cs="Arial"/>
                <w:sz w:val="20"/>
                <w:szCs w:val="20"/>
              </w:rPr>
              <w:t>Do you consider the custodial account model to be workable in the short-term</w:t>
            </w:r>
            <w:r>
              <w:rPr>
                <w:rFonts w:ascii="Arial" w:eastAsia="Arial" w:hAnsi="Arial" w:cs="Arial"/>
                <w:sz w:val="20"/>
                <w:szCs w:val="20"/>
              </w:rPr>
              <w:t xml:space="preserve"> </w:t>
            </w:r>
            <w:r w:rsidRPr="004C17E8">
              <w:rPr>
                <w:rFonts w:ascii="Arial" w:eastAsia="Arial" w:hAnsi="Arial" w:cs="Arial"/>
                <w:sz w:val="20"/>
                <w:szCs w:val="20"/>
              </w:rPr>
              <w:t>while other solutions are explored?</w:t>
            </w:r>
          </w:p>
        </w:tc>
        <w:tc>
          <w:tcPr>
            <w:tcW w:w="6840" w:type="dxa"/>
          </w:tcPr>
          <w:p w14:paraId="6A6801A2" w14:textId="2447F3B4" w:rsidR="00691E8E" w:rsidRDefault="005C2F1E" w:rsidP="00512BFF">
            <w:pPr>
              <w:spacing w:before="30" w:after="30"/>
              <w:rPr>
                <w:rFonts w:ascii="Arial" w:eastAsia="Arial" w:hAnsi="Arial" w:cs="Arial"/>
                <w:sz w:val="20"/>
                <w:szCs w:val="20"/>
              </w:rPr>
            </w:pPr>
            <w:r>
              <w:rPr>
                <w:rFonts w:ascii="Arial" w:eastAsia="Arial" w:hAnsi="Arial" w:cs="Arial"/>
                <w:sz w:val="20"/>
                <w:szCs w:val="20"/>
              </w:rPr>
              <w:t xml:space="preserve">Yes. AirCarbon currently holds all tokenised VERs in its </w:t>
            </w:r>
            <w:r w:rsidR="00D54211">
              <w:rPr>
                <w:rFonts w:ascii="Arial" w:eastAsia="Arial" w:hAnsi="Arial" w:cs="Arial"/>
                <w:sz w:val="20"/>
                <w:szCs w:val="20"/>
              </w:rPr>
              <w:t>GS</w:t>
            </w:r>
            <w:r>
              <w:rPr>
                <w:rFonts w:ascii="Arial" w:eastAsia="Arial" w:hAnsi="Arial" w:cs="Arial"/>
                <w:sz w:val="20"/>
                <w:szCs w:val="20"/>
              </w:rPr>
              <w:t xml:space="preserve"> account and would be happy to set up a custodial account into which the VERs would be transferred (or to simply convert its existing account into a custodial account)</w:t>
            </w:r>
            <w:r w:rsidR="00903120">
              <w:rPr>
                <w:rFonts w:ascii="Arial" w:eastAsia="Arial" w:hAnsi="Arial" w:cs="Arial"/>
                <w:sz w:val="20"/>
                <w:szCs w:val="20"/>
              </w:rPr>
              <w:t xml:space="preserve">. </w:t>
            </w:r>
            <w:r w:rsidR="00A60CCA">
              <w:rPr>
                <w:rFonts w:ascii="Arial" w:eastAsia="Arial" w:hAnsi="Arial" w:cs="Arial"/>
                <w:sz w:val="20"/>
                <w:szCs w:val="20"/>
              </w:rPr>
              <w:t xml:space="preserve">GS should consider awarding entities such as ACX with a </w:t>
            </w:r>
            <w:r w:rsidR="00034456">
              <w:rPr>
                <w:rFonts w:ascii="Arial" w:eastAsia="Arial" w:hAnsi="Arial" w:cs="Arial"/>
                <w:sz w:val="20"/>
                <w:szCs w:val="20"/>
              </w:rPr>
              <w:t xml:space="preserve">sub-registry account in order to streamline the interaction with </w:t>
            </w:r>
            <w:r w:rsidR="005A0FEF">
              <w:rPr>
                <w:rFonts w:ascii="Arial" w:eastAsia="Arial" w:hAnsi="Arial" w:cs="Arial"/>
                <w:sz w:val="20"/>
                <w:szCs w:val="20"/>
              </w:rPr>
              <w:t>permissioned blockchain players</w:t>
            </w:r>
            <w:r w:rsidR="00903120">
              <w:rPr>
                <w:rFonts w:ascii="Arial" w:eastAsia="Arial" w:hAnsi="Arial" w:cs="Arial"/>
                <w:sz w:val="20"/>
                <w:szCs w:val="20"/>
              </w:rPr>
              <w:t xml:space="preserve">. </w:t>
            </w:r>
            <w:r w:rsidR="005A0FEF">
              <w:rPr>
                <w:rFonts w:ascii="Arial" w:eastAsia="Arial" w:hAnsi="Arial" w:cs="Arial"/>
                <w:sz w:val="20"/>
                <w:szCs w:val="20"/>
              </w:rPr>
              <w:t>It is our understanding that VERRA is cons</w:t>
            </w:r>
            <w:r w:rsidR="007F247F">
              <w:rPr>
                <w:rFonts w:ascii="Arial" w:eastAsia="Arial" w:hAnsi="Arial" w:cs="Arial"/>
                <w:sz w:val="20"/>
                <w:szCs w:val="20"/>
              </w:rPr>
              <w:t>idering this framework.</w:t>
            </w:r>
          </w:p>
        </w:tc>
      </w:tr>
      <w:tr w:rsidR="00691E8E" w14:paraId="0D6450A1" w14:textId="77777777" w:rsidTr="004C17E8">
        <w:trPr>
          <w:cantSplit/>
        </w:trPr>
        <w:tc>
          <w:tcPr>
            <w:tcW w:w="625" w:type="dxa"/>
          </w:tcPr>
          <w:p w14:paraId="7FF503DA" w14:textId="78017D87" w:rsidR="00691E8E" w:rsidRDefault="00691E8E" w:rsidP="00512BFF">
            <w:pPr>
              <w:spacing w:before="30" w:after="30"/>
              <w:jc w:val="center"/>
              <w:rPr>
                <w:rFonts w:ascii="Arial" w:eastAsia="Arial" w:hAnsi="Arial" w:cs="Arial"/>
                <w:sz w:val="20"/>
                <w:szCs w:val="20"/>
              </w:rPr>
            </w:pPr>
            <w:r>
              <w:rPr>
                <w:rFonts w:ascii="Arial" w:eastAsia="Arial" w:hAnsi="Arial" w:cs="Arial"/>
                <w:sz w:val="20"/>
                <w:szCs w:val="20"/>
              </w:rPr>
              <w:lastRenderedPageBreak/>
              <w:t>2.</w:t>
            </w:r>
          </w:p>
        </w:tc>
        <w:tc>
          <w:tcPr>
            <w:tcW w:w="6030" w:type="dxa"/>
          </w:tcPr>
          <w:p w14:paraId="75A1ADF0" w14:textId="67480D54" w:rsidR="00691E8E" w:rsidRDefault="004C17E8" w:rsidP="00512BFF">
            <w:pPr>
              <w:spacing w:before="30" w:after="30"/>
              <w:rPr>
                <w:rFonts w:ascii="Arial" w:eastAsia="Arial" w:hAnsi="Arial" w:cs="Arial"/>
                <w:sz w:val="20"/>
                <w:szCs w:val="20"/>
              </w:rPr>
            </w:pPr>
            <w:r w:rsidRPr="004C17E8">
              <w:rPr>
                <w:rFonts w:ascii="Arial" w:eastAsia="Arial" w:hAnsi="Arial" w:cs="Arial"/>
                <w:sz w:val="20"/>
                <w:szCs w:val="20"/>
              </w:rPr>
              <w:t>Do you consider it appropriate for Gold Standard to explore ‘native tokenisation’</w:t>
            </w:r>
            <w:r>
              <w:rPr>
                <w:rFonts w:ascii="Arial" w:eastAsia="Arial" w:hAnsi="Arial" w:cs="Arial"/>
                <w:sz w:val="20"/>
                <w:szCs w:val="20"/>
              </w:rPr>
              <w:t xml:space="preserve"> </w:t>
            </w:r>
            <w:r w:rsidRPr="004C17E8">
              <w:rPr>
                <w:rFonts w:ascii="Arial" w:eastAsia="Arial" w:hAnsi="Arial" w:cs="Arial"/>
                <w:sz w:val="20"/>
                <w:szCs w:val="20"/>
              </w:rPr>
              <w:t>in the future?</w:t>
            </w:r>
          </w:p>
        </w:tc>
        <w:tc>
          <w:tcPr>
            <w:tcW w:w="6840" w:type="dxa"/>
          </w:tcPr>
          <w:p w14:paraId="405BA370" w14:textId="19594867" w:rsidR="00691E8E" w:rsidRDefault="007F247F" w:rsidP="00512BFF">
            <w:pPr>
              <w:spacing w:before="30" w:after="30"/>
              <w:rPr>
                <w:rFonts w:ascii="Arial" w:eastAsia="Arial" w:hAnsi="Arial" w:cs="Arial"/>
                <w:sz w:val="20"/>
                <w:szCs w:val="20"/>
              </w:rPr>
            </w:pPr>
            <w:r w:rsidRPr="00D54211">
              <w:rPr>
                <w:rFonts w:ascii="Arial" w:eastAsia="Arial" w:hAnsi="Arial" w:cs="Arial"/>
                <w:sz w:val="20"/>
                <w:szCs w:val="20"/>
              </w:rPr>
              <w:t xml:space="preserve">Native </w:t>
            </w:r>
            <w:r w:rsidR="00F6368A" w:rsidRPr="00D54211">
              <w:rPr>
                <w:rFonts w:ascii="Arial" w:eastAsia="Arial" w:hAnsi="Arial" w:cs="Arial"/>
                <w:sz w:val="20"/>
                <w:szCs w:val="20"/>
              </w:rPr>
              <w:t xml:space="preserve">tokenization </w:t>
            </w:r>
            <w:r w:rsidR="008D482D" w:rsidRPr="00D54211">
              <w:rPr>
                <w:rFonts w:ascii="Arial" w:eastAsia="Arial" w:hAnsi="Arial" w:cs="Arial"/>
                <w:sz w:val="20"/>
                <w:szCs w:val="20"/>
              </w:rPr>
              <w:t>should be allowed</w:t>
            </w:r>
            <w:r w:rsidR="00903120">
              <w:rPr>
                <w:rFonts w:ascii="Arial" w:eastAsia="Arial" w:hAnsi="Arial" w:cs="Arial"/>
                <w:sz w:val="20"/>
                <w:szCs w:val="20"/>
              </w:rPr>
              <w:t xml:space="preserve">. </w:t>
            </w:r>
            <w:r w:rsidR="00F8409D">
              <w:rPr>
                <w:rFonts w:ascii="Arial" w:eastAsia="Arial" w:hAnsi="Arial" w:cs="Arial"/>
                <w:sz w:val="20"/>
                <w:szCs w:val="20"/>
              </w:rPr>
              <w:t xml:space="preserve">If done, it should be done using the most </w:t>
            </w:r>
            <w:r w:rsidR="008D59C2">
              <w:rPr>
                <w:rFonts w:ascii="Arial" w:eastAsia="Arial" w:hAnsi="Arial" w:cs="Arial"/>
                <w:sz w:val="20"/>
                <w:szCs w:val="20"/>
              </w:rPr>
              <w:t>widely used and de-facto industry standards for</w:t>
            </w:r>
            <w:r w:rsidR="00F8409D">
              <w:rPr>
                <w:rFonts w:ascii="Arial" w:eastAsia="Arial" w:hAnsi="Arial" w:cs="Arial"/>
                <w:sz w:val="20"/>
                <w:szCs w:val="20"/>
              </w:rPr>
              <w:t xml:space="preserve"> token</w:t>
            </w:r>
            <w:r w:rsidR="008D59C2">
              <w:rPr>
                <w:rFonts w:ascii="Arial" w:eastAsia="Arial" w:hAnsi="Arial" w:cs="Arial"/>
                <w:sz w:val="20"/>
                <w:szCs w:val="20"/>
              </w:rPr>
              <w:t xml:space="preserve">ization, these in our view being </w:t>
            </w:r>
            <w:r w:rsidR="002A5C3E">
              <w:rPr>
                <w:rFonts w:ascii="Arial" w:eastAsia="Arial" w:hAnsi="Arial" w:cs="Arial"/>
                <w:sz w:val="20"/>
                <w:szCs w:val="20"/>
              </w:rPr>
              <w:t>Ethereum</w:t>
            </w:r>
            <w:r w:rsidR="008D59C2">
              <w:rPr>
                <w:rFonts w:ascii="Arial" w:eastAsia="Arial" w:hAnsi="Arial" w:cs="Arial"/>
                <w:sz w:val="20"/>
                <w:szCs w:val="20"/>
              </w:rPr>
              <w:t xml:space="preserve"> and </w:t>
            </w:r>
            <w:r w:rsidR="001D28D7">
              <w:rPr>
                <w:rFonts w:ascii="Arial" w:eastAsia="Arial" w:hAnsi="Arial" w:cs="Arial"/>
                <w:sz w:val="20"/>
                <w:szCs w:val="20"/>
              </w:rPr>
              <w:t xml:space="preserve">other </w:t>
            </w:r>
            <w:r w:rsidR="008D59C2">
              <w:rPr>
                <w:rFonts w:ascii="Arial" w:eastAsia="Arial" w:hAnsi="Arial" w:cs="Arial"/>
                <w:sz w:val="20"/>
                <w:szCs w:val="20"/>
              </w:rPr>
              <w:t>fully EVM-compatible blockchains such as Polygon</w:t>
            </w:r>
            <w:r w:rsidR="00903120">
              <w:rPr>
                <w:rFonts w:ascii="Arial" w:eastAsia="Arial" w:hAnsi="Arial" w:cs="Arial"/>
                <w:sz w:val="20"/>
                <w:szCs w:val="20"/>
              </w:rPr>
              <w:t xml:space="preserve">. </w:t>
            </w:r>
            <w:r w:rsidR="00D5794A">
              <w:rPr>
                <w:rFonts w:ascii="Arial" w:eastAsia="Arial" w:hAnsi="Arial" w:cs="Arial"/>
                <w:sz w:val="20"/>
                <w:szCs w:val="20"/>
              </w:rPr>
              <w:t xml:space="preserve">Emphasis should be given to </w:t>
            </w:r>
            <w:r w:rsidR="00516DA2">
              <w:rPr>
                <w:rFonts w:ascii="Arial" w:eastAsia="Arial" w:hAnsi="Arial" w:cs="Arial"/>
                <w:sz w:val="20"/>
                <w:szCs w:val="20"/>
              </w:rPr>
              <w:t>low carbon proof methods</w:t>
            </w:r>
            <w:r w:rsidR="00D5794A">
              <w:rPr>
                <w:rFonts w:ascii="Arial" w:eastAsia="Arial" w:hAnsi="Arial" w:cs="Arial"/>
                <w:sz w:val="20"/>
                <w:szCs w:val="20"/>
              </w:rPr>
              <w:t>, notably Proof of Stake</w:t>
            </w:r>
            <w:r w:rsidR="00903120">
              <w:rPr>
                <w:rFonts w:ascii="Arial" w:eastAsia="Arial" w:hAnsi="Arial" w:cs="Arial"/>
                <w:sz w:val="20"/>
                <w:szCs w:val="20"/>
              </w:rPr>
              <w:t xml:space="preserve">. </w:t>
            </w:r>
            <w:r w:rsidR="00F46D2F">
              <w:rPr>
                <w:rFonts w:ascii="Arial" w:eastAsia="Arial" w:hAnsi="Arial" w:cs="Arial"/>
                <w:sz w:val="20"/>
                <w:szCs w:val="20"/>
              </w:rPr>
              <w:t>EVM-compatible chains</w:t>
            </w:r>
            <w:r w:rsidR="00516DA2">
              <w:rPr>
                <w:rFonts w:ascii="Arial" w:eastAsia="Arial" w:hAnsi="Arial" w:cs="Arial"/>
                <w:sz w:val="20"/>
                <w:szCs w:val="20"/>
              </w:rPr>
              <w:t xml:space="preserve"> </w:t>
            </w:r>
            <w:r w:rsidR="00D6672F">
              <w:rPr>
                <w:rFonts w:ascii="Arial" w:eastAsia="Arial" w:hAnsi="Arial" w:cs="Arial"/>
                <w:sz w:val="20"/>
                <w:szCs w:val="20"/>
              </w:rPr>
              <w:t>represent</w:t>
            </w:r>
            <w:r w:rsidR="00516DA2">
              <w:rPr>
                <w:rFonts w:ascii="Arial" w:eastAsia="Arial" w:hAnsi="Arial" w:cs="Arial"/>
                <w:sz w:val="20"/>
                <w:szCs w:val="20"/>
              </w:rPr>
              <w:t xml:space="preserve"> </w:t>
            </w:r>
            <w:r w:rsidR="00B81CB9">
              <w:rPr>
                <w:rFonts w:ascii="Arial" w:eastAsia="Arial" w:hAnsi="Arial" w:cs="Arial"/>
                <w:sz w:val="20"/>
                <w:szCs w:val="20"/>
              </w:rPr>
              <w:t xml:space="preserve">– by most reasonable metrics - </w:t>
            </w:r>
            <w:r w:rsidR="00516DA2">
              <w:rPr>
                <w:rFonts w:ascii="Arial" w:eastAsia="Arial" w:hAnsi="Arial" w:cs="Arial"/>
                <w:sz w:val="20"/>
                <w:szCs w:val="20"/>
              </w:rPr>
              <w:t xml:space="preserve">the highest </w:t>
            </w:r>
            <w:r w:rsidR="00B3140F">
              <w:rPr>
                <w:rFonts w:ascii="Arial" w:eastAsia="Arial" w:hAnsi="Arial" w:cs="Arial"/>
                <w:sz w:val="20"/>
                <w:szCs w:val="20"/>
              </w:rPr>
              <w:t xml:space="preserve">level of </w:t>
            </w:r>
            <w:r w:rsidR="006006A0">
              <w:rPr>
                <w:rFonts w:ascii="Arial" w:eastAsia="Arial" w:hAnsi="Arial" w:cs="Arial"/>
                <w:sz w:val="20"/>
                <w:szCs w:val="20"/>
              </w:rPr>
              <w:t>developer mindshare and activity</w:t>
            </w:r>
            <w:r w:rsidR="00B3140F">
              <w:rPr>
                <w:rFonts w:ascii="Arial" w:eastAsia="Arial" w:hAnsi="Arial" w:cs="Arial"/>
                <w:sz w:val="20"/>
                <w:szCs w:val="20"/>
              </w:rPr>
              <w:t xml:space="preserve"> in the </w:t>
            </w:r>
            <w:r w:rsidR="00F32E13">
              <w:rPr>
                <w:rFonts w:ascii="Arial" w:eastAsia="Arial" w:hAnsi="Arial" w:cs="Arial"/>
                <w:sz w:val="20"/>
                <w:szCs w:val="20"/>
              </w:rPr>
              <w:t>blockchain technology space</w:t>
            </w:r>
            <w:r w:rsidR="00903120">
              <w:rPr>
                <w:rFonts w:ascii="Arial" w:eastAsia="Arial" w:hAnsi="Arial" w:cs="Arial"/>
                <w:sz w:val="20"/>
                <w:szCs w:val="20"/>
              </w:rPr>
              <w:t xml:space="preserve">. </w:t>
            </w:r>
            <w:r w:rsidR="00B3140F">
              <w:rPr>
                <w:rFonts w:ascii="Arial" w:eastAsia="Arial" w:hAnsi="Arial" w:cs="Arial"/>
                <w:sz w:val="20"/>
                <w:szCs w:val="20"/>
              </w:rPr>
              <w:t xml:space="preserve">As an example, using </w:t>
            </w:r>
            <w:r w:rsidR="005E6E6F">
              <w:rPr>
                <w:rFonts w:ascii="Arial" w:eastAsia="Arial" w:hAnsi="Arial" w:cs="Arial"/>
                <w:sz w:val="20"/>
                <w:szCs w:val="20"/>
              </w:rPr>
              <w:t>the</w:t>
            </w:r>
            <w:r w:rsidR="00B3140F">
              <w:rPr>
                <w:rFonts w:ascii="Arial" w:eastAsia="Arial" w:hAnsi="Arial" w:cs="Arial"/>
                <w:sz w:val="20"/>
                <w:szCs w:val="20"/>
              </w:rPr>
              <w:t xml:space="preserve"> CHIA network </w:t>
            </w:r>
            <w:r w:rsidR="005E6E6F">
              <w:rPr>
                <w:rFonts w:ascii="Arial" w:eastAsia="Arial" w:hAnsi="Arial" w:cs="Arial"/>
                <w:sz w:val="20"/>
                <w:szCs w:val="20"/>
              </w:rPr>
              <w:t xml:space="preserve">as currently envisioned by the Climate Warehouse is </w:t>
            </w:r>
            <w:r w:rsidR="007A4D5D">
              <w:rPr>
                <w:rFonts w:ascii="Arial" w:eastAsia="Arial" w:hAnsi="Arial" w:cs="Arial"/>
                <w:sz w:val="20"/>
                <w:szCs w:val="20"/>
              </w:rPr>
              <w:t>questionable given</w:t>
            </w:r>
            <w:r w:rsidR="005E6E6F">
              <w:rPr>
                <w:rFonts w:ascii="Arial" w:eastAsia="Arial" w:hAnsi="Arial" w:cs="Arial"/>
                <w:sz w:val="20"/>
                <w:szCs w:val="20"/>
              </w:rPr>
              <w:t xml:space="preserve"> </w:t>
            </w:r>
            <w:r w:rsidR="00486606">
              <w:rPr>
                <w:rFonts w:ascii="Arial" w:eastAsia="Arial" w:hAnsi="Arial" w:cs="Arial"/>
                <w:sz w:val="20"/>
                <w:szCs w:val="20"/>
              </w:rPr>
              <w:t>it has no real market penetration</w:t>
            </w:r>
            <w:r w:rsidR="00245CF5">
              <w:rPr>
                <w:rFonts w:ascii="Arial" w:eastAsia="Arial" w:hAnsi="Arial" w:cs="Arial"/>
                <w:sz w:val="20"/>
                <w:szCs w:val="20"/>
              </w:rPr>
              <w:t>.</w:t>
            </w:r>
          </w:p>
          <w:p w14:paraId="26CAC6C3" w14:textId="77777777" w:rsidR="00C90FB7" w:rsidRDefault="00C90FB7" w:rsidP="00512BFF">
            <w:pPr>
              <w:spacing w:before="30" w:after="30"/>
              <w:rPr>
                <w:rFonts w:ascii="Arial" w:eastAsia="Arial" w:hAnsi="Arial" w:cs="Arial"/>
                <w:sz w:val="20"/>
                <w:szCs w:val="20"/>
              </w:rPr>
            </w:pPr>
          </w:p>
          <w:p w14:paraId="569AD82E" w14:textId="681B52E3" w:rsidR="00C90FB7" w:rsidRDefault="00C90FB7" w:rsidP="00512BFF">
            <w:pPr>
              <w:spacing w:before="30" w:after="30"/>
              <w:rPr>
                <w:rFonts w:ascii="Arial" w:eastAsia="Arial" w:hAnsi="Arial" w:cs="Arial"/>
                <w:sz w:val="20"/>
                <w:szCs w:val="20"/>
              </w:rPr>
            </w:pPr>
            <w:r>
              <w:rPr>
                <w:rFonts w:ascii="Arial" w:eastAsia="Arial" w:hAnsi="Arial" w:cs="Arial"/>
                <w:sz w:val="20"/>
                <w:szCs w:val="20"/>
              </w:rPr>
              <w:t xml:space="preserve">If native tokenization is pursued by GS this should not include a corresponding ban on tokenization by private firms such as ACX, providing digital representations of GS’s Native Tokens. Reasons to continue this practice include eliminating the risk of bridging GS native tokens to another chain that the private firm utilizes, </w:t>
            </w:r>
            <w:r w:rsidR="00903120">
              <w:rPr>
                <w:rFonts w:ascii="Arial" w:eastAsia="Arial" w:hAnsi="Arial" w:cs="Arial"/>
                <w:sz w:val="20"/>
                <w:szCs w:val="20"/>
              </w:rPr>
              <w:t>in</w:t>
            </w:r>
            <w:r>
              <w:rPr>
                <w:rFonts w:ascii="Arial" w:eastAsia="Arial" w:hAnsi="Arial" w:cs="Arial"/>
                <w:sz w:val="20"/>
                <w:szCs w:val="20"/>
              </w:rPr>
              <w:t xml:space="preserve"> addition to allowing firms to continue using their existing exchange infrastructure.</w:t>
            </w:r>
          </w:p>
        </w:tc>
      </w:tr>
      <w:tr w:rsidR="00691E8E" w14:paraId="225FC2B4" w14:textId="77777777" w:rsidTr="004C17E8">
        <w:trPr>
          <w:cantSplit/>
        </w:trPr>
        <w:tc>
          <w:tcPr>
            <w:tcW w:w="625" w:type="dxa"/>
          </w:tcPr>
          <w:p w14:paraId="31BED75A" w14:textId="6C3989A5" w:rsidR="00691E8E" w:rsidRDefault="00691E8E" w:rsidP="00512BFF">
            <w:pPr>
              <w:spacing w:before="30" w:after="30"/>
              <w:jc w:val="center"/>
              <w:rPr>
                <w:rFonts w:ascii="Arial" w:eastAsia="Arial" w:hAnsi="Arial" w:cs="Arial"/>
                <w:sz w:val="20"/>
                <w:szCs w:val="20"/>
              </w:rPr>
            </w:pPr>
            <w:r>
              <w:rPr>
                <w:rFonts w:ascii="Arial" w:eastAsia="Arial" w:hAnsi="Arial" w:cs="Arial"/>
                <w:sz w:val="20"/>
                <w:szCs w:val="20"/>
              </w:rPr>
              <w:t>3.</w:t>
            </w:r>
          </w:p>
        </w:tc>
        <w:tc>
          <w:tcPr>
            <w:tcW w:w="6030" w:type="dxa"/>
          </w:tcPr>
          <w:p w14:paraId="01586507" w14:textId="7E0D381A" w:rsidR="00691E8E" w:rsidRDefault="004C17E8" w:rsidP="00512BFF">
            <w:pPr>
              <w:spacing w:before="30" w:after="30"/>
              <w:rPr>
                <w:rFonts w:ascii="Arial" w:eastAsia="Arial" w:hAnsi="Arial" w:cs="Arial"/>
                <w:sz w:val="20"/>
                <w:szCs w:val="20"/>
              </w:rPr>
            </w:pPr>
            <w:r w:rsidRPr="004C17E8">
              <w:rPr>
                <w:rFonts w:ascii="Arial" w:eastAsia="Arial" w:hAnsi="Arial" w:cs="Arial"/>
                <w:sz w:val="20"/>
                <w:szCs w:val="20"/>
              </w:rPr>
              <w:t>Would you like to share any additional comments on this topic?</w:t>
            </w:r>
          </w:p>
        </w:tc>
        <w:tc>
          <w:tcPr>
            <w:tcW w:w="6840" w:type="dxa"/>
          </w:tcPr>
          <w:p w14:paraId="37285C0A" w14:textId="7FEBDCAF" w:rsidR="00691E8E" w:rsidRDefault="005C2F1E" w:rsidP="00512BFF">
            <w:pPr>
              <w:spacing w:before="30" w:after="30"/>
              <w:rPr>
                <w:rFonts w:ascii="Arial" w:eastAsia="Arial" w:hAnsi="Arial" w:cs="Arial"/>
                <w:sz w:val="20"/>
                <w:szCs w:val="20"/>
              </w:rPr>
            </w:pPr>
            <w:r>
              <w:rPr>
                <w:rFonts w:ascii="Arial" w:eastAsia="Arial" w:hAnsi="Arial" w:cs="Arial"/>
                <w:sz w:val="20"/>
                <w:szCs w:val="20"/>
              </w:rPr>
              <w:t xml:space="preserve">AirCarbon would be happy to work with </w:t>
            </w:r>
            <w:r w:rsidR="00D54211">
              <w:rPr>
                <w:rFonts w:ascii="Arial" w:eastAsia="Arial" w:hAnsi="Arial" w:cs="Arial"/>
                <w:sz w:val="20"/>
                <w:szCs w:val="20"/>
              </w:rPr>
              <w:t>GS</w:t>
            </w:r>
            <w:r>
              <w:rPr>
                <w:rFonts w:ascii="Arial" w:eastAsia="Arial" w:hAnsi="Arial" w:cs="Arial"/>
                <w:sz w:val="20"/>
                <w:szCs w:val="20"/>
              </w:rPr>
              <w:t xml:space="preserve"> on creating API connectivity across our systems.</w:t>
            </w:r>
          </w:p>
        </w:tc>
      </w:tr>
      <w:tr w:rsidR="00691E8E" w14:paraId="791760E5" w14:textId="77777777" w:rsidTr="00691E8E">
        <w:trPr>
          <w:cantSplit/>
        </w:trPr>
        <w:tc>
          <w:tcPr>
            <w:tcW w:w="13495" w:type="dxa"/>
            <w:gridSpan w:val="3"/>
            <w:shd w:val="clear" w:color="auto" w:fill="E2EFD9" w:themeFill="accent6" w:themeFillTint="33"/>
          </w:tcPr>
          <w:p w14:paraId="3CBB50CB" w14:textId="55C09C4E" w:rsidR="00691E8E" w:rsidRPr="00691E8E" w:rsidRDefault="00691E8E" w:rsidP="00512BFF">
            <w:pPr>
              <w:spacing w:before="30" w:after="30"/>
              <w:rPr>
                <w:rFonts w:ascii="Arial" w:eastAsia="Arial" w:hAnsi="Arial" w:cs="Arial"/>
                <w:b/>
                <w:bCs/>
                <w:sz w:val="20"/>
                <w:szCs w:val="20"/>
              </w:rPr>
            </w:pPr>
            <w:r>
              <w:rPr>
                <w:rFonts w:ascii="Arial" w:eastAsia="Arial" w:hAnsi="Arial" w:cs="Arial"/>
                <w:b/>
                <w:bCs/>
                <w:sz w:val="20"/>
                <w:szCs w:val="20"/>
              </w:rPr>
              <w:t>2.2 Holding, Retirement and Reporting</w:t>
            </w:r>
          </w:p>
        </w:tc>
      </w:tr>
      <w:tr w:rsidR="00691E8E" w14:paraId="6C9F1CD1" w14:textId="77777777" w:rsidTr="004C17E8">
        <w:trPr>
          <w:cantSplit/>
        </w:trPr>
        <w:tc>
          <w:tcPr>
            <w:tcW w:w="625" w:type="dxa"/>
          </w:tcPr>
          <w:p w14:paraId="62DA94AA" w14:textId="22313044" w:rsidR="00691E8E" w:rsidRDefault="00691E8E" w:rsidP="00512BFF">
            <w:pPr>
              <w:spacing w:before="30" w:after="30"/>
              <w:jc w:val="center"/>
              <w:rPr>
                <w:rFonts w:ascii="Arial" w:eastAsia="Arial" w:hAnsi="Arial" w:cs="Arial"/>
                <w:sz w:val="20"/>
                <w:szCs w:val="20"/>
              </w:rPr>
            </w:pPr>
            <w:r>
              <w:rPr>
                <w:rFonts w:ascii="Arial" w:eastAsia="Arial" w:hAnsi="Arial" w:cs="Arial"/>
                <w:sz w:val="20"/>
                <w:szCs w:val="20"/>
              </w:rPr>
              <w:t>1.</w:t>
            </w:r>
          </w:p>
        </w:tc>
        <w:tc>
          <w:tcPr>
            <w:tcW w:w="6030" w:type="dxa"/>
          </w:tcPr>
          <w:p w14:paraId="7686241B" w14:textId="39690C2C" w:rsidR="00691E8E" w:rsidRDefault="004C17E8" w:rsidP="00512BFF">
            <w:pPr>
              <w:spacing w:before="30" w:after="30"/>
              <w:rPr>
                <w:rFonts w:ascii="Arial" w:eastAsia="Arial" w:hAnsi="Arial" w:cs="Arial"/>
                <w:sz w:val="20"/>
                <w:szCs w:val="20"/>
              </w:rPr>
            </w:pPr>
            <w:r w:rsidRPr="004C17E8">
              <w:rPr>
                <w:rFonts w:ascii="Arial" w:eastAsia="Arial" w:hAnsi="Arial" w:cs="Arial"/>
                <w:sz w:val="20"/>
                <w:szCs w:val="20"/>
              </w:rPr>
              <w:t>Do you consider these proposals to be workable and proportionate?</w:t>
            </w:r>
          </w:p>
        </w:tc>
        <w:tc>
          <w:tcPr>
            <w:tcW w:w="6840" w:type="dxa"/>
          </w:tcPr>
          <w:p w14:paraId="132424A9" w14:textId="61408015" w:rsidR="00691E8E" w:rsidRDefault="0008312C" w:rsidP="00512BFF">
            <w:pPr>
              <w:spacing w:before="30" w:after="30"/>
              <w:rPr>
                <w:rFonts w:ascii="Arial" w:eastAsia="Arial" w:hAnsi="Arial" w:cs="Arial"/>
                <w:sz w:val="20"/>
                <w:szCs w:val="20"/>
              </w:rPr>
            </w:pPr>
            <w:r>
              <w:rPr>
                <w:rFonts w:ascii="Arial" w:eastAsia="Arial" w:hAnsi="Arial" w:cs="Arial"/>
                <w:sz w:val="20"/>
                <w:szCs w:val="20"/>
              </w:rPr>
              <w:t>Yes. Items 1 to 3 are very much aligned with AirCarbon’s current practice / processes. On item 4, we note that separate reporting may not actually be required under a custodial account structure as all tokenisation and retirement would already be reflected within the custodial account (</w:t>
            </w:r>
            <w:r w:rsidR="00903120">
              <w:rPr>
                <w:rFonts w:ascii="Arial" w:eastAsia="Arial" w:hAnsi="Arial" w:cs="Arial"/>
                <w:sz w:val="20"/>
                <w:szCs w:val="20"/>
              </w:rPr>
              <w:t>i.e.,</w:t>
            </w:r>
            <w:r>
              <w:rPr>
                <w:rFonts w:ascii="Arial" w:eastAsia="Arial" w:hAnsi="Arial" w:cs="Arial"/>
                <w:sz w:val="20"/>
                <w:szCs w:val="20"/>
              </w:rPr>
              <w:t xml:space="preserve"> as VER deposits or retirements); in any case, we would be happy to provide the quarterly reporting if required by </w:t>
            </w:r>
            <w:r w:rsidR="00F00108">
              <w:rPr>
                <w:rFonts w:ascii="Arial" w:eastAsia="Arial" w:hAnsi="Arial" w:cs="Arial"/>
                <w:sz w:val="20"/>
                <w:szCs w:val="20"/>
              </w:rPr>
              <w:t>GS</w:t>
            </w:r>
            <w:r>
              <w:rPr>
                <w:rFonts w:ascii="Arial" w:eastAsia="Arial" w:hAnsi="Arial" w:cs="Arial"/>
                <w:sz w:val="20"/>
                <w:szCs w:val="20"/>
              </w:rPr>
              <w:t>.</w:t>
            </w:r>
          </w:p>
        </w:tc>
      </w:tr>
      <w:tr w:rsidR="00691E8E" w14:paraId="316DD319" w14:textId="77777777" w:rsidTr="004C17E8">
        <w:trPr>
          <w:cantSplit/>
        </w:trPr>
        <w:tc>
          <w:tcPr>
            <w:tcW w:w="625" w:type="dxa"/>
          </w:tcPr>
          <w:p w14:paraId="499D2510" w14:textId="54156D0E" w:rsidR="00691E8E" w:rsidRDefault="00691E8E" w:rsidP="00512BFF">
            <w:pPr>
              <w:spacing w:before="30" w:after="30"/>
              <w:jc w:val="center"/>
              <w:rPr>
                <w:rFonts w:ascii="Arial" w:eastAsia="Arial" w:hAnsi="Arial" w:cs="Arial"/>
                <w:sz w:val="20"/>
                <w:szCs w:val="20"/>
              </w:rPr>
            </w:pPr>
            <w:r>
              <w:rPr>
                <w:rFonts w:ascii="Arial" w:eastAsia="Arial" w:hAnsi="Arial" w:cs="Arial"/>
                <w:sz w:val="20"/>
                <w:szCs w:val="20"/>
              </w:rPr>
              <w:t>2.</w:t>
            </w:r>
          </w:p>
        </w:tc>
        <w:tc>
          <w:tcPr>
            <w:tcW w:w="6030" w:type="dxa"/>
          </w:tcPr>
          <w:p w14:paraId="2CA3BE4A" w14:textId="70EEC84D" w:rsidR="00691E8E" w:rsidRDefault="004C17E8" w:rsidP="00512BFF">
            <w:pPr>
              <w:spacing w:before="30" w:after="30"/>
              <w:rPr>
                <w:rFonts w:ascii="Arial" w:eastAsia="Arial" w:hAnsi="Arial" w:cs="Arial"/>
                <w:sz w:val="20"/>
                <w:szCs w:val="20"/>
              </w:rPr>
            </w:pPr>
            <w:r w:rsidRPr="004C17E8">
              <w:rPr>
                <w:rFonts w:ascii="Arial" w:eastAsia="Arial" w:hAnsi="Arial" w:cs="Arial"/>
                <w:sz w:val="20"/>
                <w:szCs w:val="20"/>
              </w:rPr>
              <w:t>What do you consider to be an appropriate timeframe in which retirements must</w:t>
            </w:r>
            <w:r>
              <w:rPr>
                <w:rFonts w:ascii="Arial" w:eastAsia="Arial" w:hAnsi="Arial" w:cs="Arial"/>
                <w:sz w:val="20"/>
                <w:szCs w:val="20"/>
              </w:rPr>
              <w:t xml:space="preserve"> </w:t>
            </w:r>
            <w:r w:rsidRPr="004C17E8">
              <w:rPr>
                <w:rFonts w:ascii="Arial" w:eastAsia="Arial" w:hAnsi="Arial" w:cs="Arial"/>
                <w:sz w:val="20"/>
                <w:szCs w:val="20"/>
              </w:rPr>
              <w:t>be made on the Gold Standard Registry, following their retirement on a third-party</w:t>
            </w:r>
            <w:r>
              <w:rPr>
                <w:rFonts w:ascii="Arial" w:eastAsia="Arial" w:hAnsi="Arial" w:cs="Arial"/>
                <w:sz w:val="20"/>
                <w:szCs w:val="20"/>
              </w:rPr>
              <w:t xml:space="preserve"> </w:t>
            </w:r>
            <w:r w:rsidRPr="004C17E8">
              <w:rPr>
                <w:rFonts w:ascii="Arial" w:eastAsia="Arial" w:hAnsi="Arial" w:cs="Arial"/>
                <w:sz w:val="20"/>
                <w:szCs w:val="20"/>
              </w:rPr>
              <w:t>platform?</w:t>
            </w:r>
          </w:p>
        </w:tc>
        <w:tc>
          <w:tcPr>
            <w:tcW w:w="6840" w:type="dxa"/>
          </w:tcPr>
          <w:p w14:paraId="20C7F0CE" w14:textId="7C0FA11B" w:rsidR="00691E8E" w:rsidRDefault="00326D94" w:rsidP="00512BFF">
            <w:pPr>
              <w:spacing w:before="30" w:after="30"/>
              <w:rPr>
                <w:rFonts w:ascii="Arial" w:eastAsia="Arial" w:hAnsi="Arial" w:cs="Arial"/>
                <w:sz w:val="20"/>
                <w:szCs w:val="20"/>
              </w:rPr>
            </w:pPr>
            <w:r>
              <w:rPr>
                <w:rFonts w:ascii="Arial" w:eastAsia="Arial" w:hAnsi="Arial" w:cs="Arial"/>
                <w:sz w:val="20"/>
                <w:szCs w:val="20"/>
              </w:rPr>
              <w:t>In our view, the concept of “no undue delay” is an appropriate / reasonable one. Setting a fixed time period may be unduly rigid and not accommodate extenuating circumstances.</w:t>
            </w:r>
          </w:p>
        </w:tc>
      </w:tr>
      <w:tr w:rsidR="00691E8E" w14:paraId="5F15557F" w14:textId="77777777" w:rsidTr="004C17E8">
        <w:trPr>
          <w:cantSplit/>
        </w:trPr>
        <w:tc>
          <w:tcPr>
            <w:tcW w:w="625" w:type="dxa"/>
          </w:tcPr>
          <w:p w14:paraId="7D0C305B" w14:textId="55058F72" w:rsidR="00691E8E" w:rsidRDefault="00691E8E" w:rsidP="00512BFF">
            <w:pPr>
              <w:spacing w:before="30" w:after="30"/>
              <w:jc w:val="center"/>
              <w:rPr>
                <w:rFonts w:ascii="Arial" w:eastAsia="Arial" w:hAnsi="Arial" w:cs="Arial"/>
                <w:sz w:val="20"/>
                <w:szCs w:val="20"/>
              </w:rPr>
            </w:pPr>
            <w:r>
              <w:rPr>
                <w:rFonts w:ascii="Arial" w:eastAsia="Arial" w:hAnsi="Arial" w:cs="Arial"/>
                <w:sz w:val="20"/>
                <w:szCs w:val="20"/>
              </w:rPr>
              <w:t>3.</w:t>
            </w:r>
          </w:p>
        </w:tc>
        <w:tc>
          <w:tcPr>
            <w:tcW w:w="6030" w:type="dxa"/>
          </w:tcPr>
          <w:p w14:paraId="57A818BB" w14:textId="6196D923" w:rsidR="00691E8E" w:rsidRDefault="004C17E8" w:rsidP="00512BFF">
            <w:pPr>
              <w:spacing w:before="30" w:after="30"/>
              <w:rPr>
                <w:rFonts w:ascii="Arial" w:eastAsia="Arial" w:hAnsi="Arial" w:cs="Arial"/>
                <w:sz w:val="20"/>
                <w:szCs w:val="20"/>
              </w:rPr>
            </w:pPr>
            <w:r w:rsidRPr="004C17E8">
              <w:rPr>
                <w:rFonts w:ascii="Arial" w:eastAsia="Arial" w:hAnsi="Arial" w:cs="Arial"/>
                <w:sz w:val="20"/>
                <w:szCs w:val="20"/>
              </w:rPr>
              <w:t>We are aware that some organisations may wish to create and market tokens that</w:t>
            </w:r>
            <w:r>
              <w:rPr>
                <w:rFonts w:ascii="Arial" w:eastAsia="Arial" w:hAnsi="Arial" w:cs="Arial"/>
                <w:sz w:val="20"/>
                <w:szCs w:val="20"/>
              </w:rPr>
              <w:t xml:space="preserve"> </w:t>
            </w:r>
            <w:r w:rsidRPr="004C17E8">
              <w:rPr>
                <w:rFonts w:ascii="Arial" w:eastAsia="Arial" w:hAnsi="Arial" w:cs="Arial"/>
                <w:sz w:val="20"/>
                <w:szCs w:val="20"/>
              </w:rPr>
              <w:t>represent fractional portions of one carbon credit. Do you have experience or ideas</w:t>
            </w:r>
            <w:r>
              <w:rPr>
                <w:rFonts w:ascii="Arial" w:eastAsia="Arial" w:hAnsi="Arial" w:cs="Arial"/>
                <w:sz w:val="20"/>
                <w:szCs w:val="20"/>
              </w:rPr>
              <w:t xml:space="preserve"> </w:t>
            </w:r>
            <w:r w:rsidRPr="004C17E8">
              <w:rPr>
                <w:rFonts w:ascii="Arial" w:eastAsia="Arial" w:hAnsi="Arial" w:cs="Arial"/>
                <w:sz w:val="20"/>
                <w:szCs w:val="20"/>
              </w:rPr>
              <w:t>for how requirements may need to vary in such cases, for instance related to</w:t>
            </w:r>
            <w:r>
              <w:rPr>
                <w:rFonts w:ascii="Arial" w:eastAsia="Arial" w:hAnsi="Arial" w:cs="Arial"/>
                <w:sz w:val="20"/>
                <w:szCs w:val="20"/>
              </w:rPr>
              <w:t xml:space="preserve"> </w:t>
            </w:r>
            <w:r w:rsidRPr="004C17E8">
              <w:rPr>
                <w:rFonts w:ascii="Arial" w:eastAsia="Arial" w:hAnsi="Arial" w:cs="Arial"/>
                <w:sz w:val="20"/>
                <w:szCs w:val="20"/>
              </w:rPr>
              <w:t>retirement in the Gold Standard Impact Registry?</w:t>
            </w:r>
          </w:p>
        </w:tc>
        <w:tc>
          <w:tcPr>
            <w:tcW w:w="6840" w:type="dxa"/>
          </w:tcPr>
          <w:p w14:paraId="66C99992" w14:textId="4977179F" w:rsidR="00691E8E" w:rsidRPr="00A230A4" w:rsidRDefault="007A59C2" w:rsidP="00512BFF">
            <w:pPr>
              <w:spacing w:before="30" w:after="30"/>
              <w:rPr>
                <w:rFonts w:ascii="Arial" w:eastAsia="Arial" w:hAnsi="Arial" w:cs="Arial"/>
                <w:sz w:val="20"/>
                <w:szCs w:val="20"/>
              </w:rPr>
            </w:pPr>
            <w:r>
              <w:rPr>
                <w:rFonts w:ascii="Arial" w:eastAsia="Arial" w:hAnsi="Arial" w:cs="Arial"/>
                <w:sz w:val="20"/>
                <w:szCs w:val="20"/>
              </w:rPr>
              <w:t>Fraction</w:t>
            </w:r>
            <w:r w:rsidR="000405C3">
              <w:rPr>
                <w:rFonts w:ascii="Arial" w:eastAsia="Arial" w:hAnsi="Arial" w:cs="Arial"/>
                <w:sz w:val="20"/>
                <w:szCs w:val="20"/>
              </w:rPr>
              <w:t xml:space="preserve">alized credits allow for greater alignment with economic </w:t>
            </w:r>
            <w:r w:rsidR="00E12B2E">
              <w:rPr>
                <w:rFonts w:ascii="Arial" w:eastAsia="Arial" w:hAnsi="Arial" w:cs="Arial"/>
                <w:sz w:val="20"/>
                <w:szCs w:val="20"/>
              </w:rPr>
              <w:t>activities</w:t>
            </w:r>
            <w:r w:rsidR="00903120">
              <w:rPr>
                <w:rFonts w:ascii="Arial" w:eastAsia="Arial" w:hAnsi="Arial" w:cs="Arial"/>
                <w:sz w:val="20"/>
                <w:szCs w:val="20"/>
              </w:rPr>
              <w:t xml:space="preserve">. </w:t>
            </w:r>
            <w:r w:rsidR="00E12B2E">
              <w:rPr>
                <w:rFonts w:ascii="Arial" w:eastAsia="Arial" w:hAnsi="Arial" w:cs="Arial"/>
                <w:sz w:val="20"/>
                <w:szCs w:val="20"/>
              </w:rPr>
              <w:t>For example</w:t>
            </w:r>
            <w:r w:rsidR="00FB75CB">
              <w:rPr>
                <w:rFonts w:ascii="Arial" w:eastAsia="Arial" w:hAnsi="Arial" w:cs="Arial"/>
                <w:sz w:val="20"/>
                <w:szCs w:val="20"/>
              </w:rPr>
              <w:t>,</w:t>
            </w:r>
            <w:r w:rsidR="00E12B2E">
              <w:rPr>
                <w:rFonts w:ascii="Arial" w:eastAsia="Arial" w:hAnsi="Arial" w:cs="Arial"/>
                <w:sz w:val="20"/>
                <w:szCs w:val="20"/>
              </w:rPr>
              <w:t xml:space="preserve"> a car ride offset by an U</w:t>
            </w:r>
            <w:r w:rsidR="00EC665A">
              <w:rPr>
                <w:rFonts w:ascii="Arial" w:eastAsia="Arial" w:hAnsi="Arial" w:cs="Arial"/>
                <w:sz w:val="20"/>
                <w:szCs w:val="20"/>
              </w:rPr>
              <w:t>ber Rider would benefit from fractions of tons</w:t>
            </w:r>
            <w:r w:rsidR="00903120">
              <w:rPr>
                <w:rFonts w:ascii="Arial" w:eastAsia="Arial" w:hAnsi="Arial" w:cs="Arial"/>
                <w:sz w:val="20"/>
                <w:szCs w:val="20"/>
              </w:rPr>
              <w:t xml:space="preserve">. </w:t>
            </w:r>
            <w:r w:rsidR="000B330E">
              <w:rPr>
                <w:rFonts w:ascii="Arial" w:eastAsia="Arial" w:hAnsi="Arial" w:cs="Arial"/>
                <w:sz w:val="20"/>
                <w:szCs w:val="20"/>
              </w:rPr>
              <w:t>Using NFTs to evidence retire</w:t>
            </w:r>
            <w:r w:rsidR="00CC7261">
              <w:rPr>
                <w:rFonts w:ascii="Arial" w:eastAsia="Arial" w:hAnsi="Arial" w:cs="Arial"/>
                <w:sz w:val="20"/>
                <w:szCs w:val="20"/>
              </w:rPr>
              <w:t xml:space="preserve">d credits and allowing fractionalization of those NFTs would potentially allow smaller </w:t>
            </w:r>
            <w:r w:rsidR="00D73E9B">
              <w:rPr>
                <w:rFonts w:ascii="Arial" w:eastAsia="Arial" w:hAnsi="Arial" w:cs="Arial"/>
                <w:sz w:val="20"/>
                <w:szCs w:val="20"/>
              </w:rPr>
              <w:t>offset buyers to hold a digital record of their retirement.</w:t>
            </w:r>
          </w:p>
        </w:tc>
      </w:tr>
      <w:tr w:rsidR="00691E8E" w14:paraId="71EC6553" w14:textId="77777777" w:rsidTr="004C17E8">
        <w:trPr>
          <w:cantSplit/>
        </w:trPr>
        <w:tc>
          <w:tcPr>
            <w:tcW w:w="625" w:type="dxa"/>
          </w:tcPr>
          <w:p w14:paraId="110015CF" w14:textId="515CEEB1" w:rsidR="00691E8E" w:rsidRDefault="00691E8E" w:rsidP="00512BFF">
            <w:pPr>
              <w:spacing w:before="30" w:after="30"/>
              <w:jc w:val="center"/>
              <w:rPr>
                <w:rFonts w:ascii="Arial" w:eastAsia="Arial" w:hAnsi="Arial" w:cs="Arial"/>
                <w:sz w:val="20"/>
                <w:szCs w:val="20"/>
              </w:rPr>
            </w:pPr>
            <w:r>
              <w:rPr>
                <w:rFonts w:ascii="Arial" w:eastAsia="Arial" w:hAnsi="Arial" w:cs="Arial"/>
                <w:sz w:val="20"/>
                <w:szCs w:val="20"/>
              </w:rPr>
              <w:t>4.</w:t>
            </w:r>
          </w:p>
        </w:tc>
        <w:tc>
          <w:tcPr>
            <w:tcW w:w="6030" w:type="dxa"/>
          </w:tcPr>
          <w:p w14:paraId="4B516F2E" w14:textId="3B816582" w:rsidR="00691E8E" w:rsidRDefault="004C17E8" w:rsidP="00512BFF">
            <w:pPr>
              <w:spacing w:before="30" w:after="30"/>
              <w:rPr>
                <w:rFonts w:ascii="Arial" w:eastAsia="Arial" w:hAnsi="Arial" w:cs="Arial"/>
                <w:sz w:val="20"/>
                <w:szCs w:val="20"/>
              </w:rPr>
            </w:pPr>
            <w:r w:rsidRPr="004C17E8">
              <w:rPr>
                <w:rFonts w:ascii="Arial" w:eastAsia="Arial" w:hAnsi="Arial" w:cs="Arial"/>
                <w:sz w:val="20"/>
                <w:szCs w:val="20"/>
              </w:rPr>
              <w:t>Would you like to share any additional comments on this topic?</w:t>
            </w:r>
          </w:p>
        </w:tc>
        <w:tc>
          <w:tcPr>
            <w:tcW w:w="6840" w:type="dxa"/>
          </w:tcPr>
          <w:p w14:paraId="13F1D1B2" w14:textId="77777777" w:rsidR="00691E8E" w:rsidRDefault="00F91266" w:rsidP="00512BFF">
            <w:pPr>
              <w:spacing w:before="30" w:after="30"/>
              <w:rPr>
                <w:rFonts w:ascii="Arial" w:eastAsia="Arial" w:hAnsi="Arial" w:cs="Arial"/>
                <w:sz w:val="20"/>
                <w:szCs w:val="20"/>
              </w:rPr>
            </w:pPr>
            <w:r>
              <w:rPr>
                <w:rFonts w:ascii="Arial" w:eastAsia="Arial" w:hAnsi="Arial" w:cs="Arial"/>
                <w:sz w:val="20"/>
                <w:szCs w:val="20"/>
              </w:rPr>
              <w:t>No additional comments.</w:t>
            </w:r>
          </w:p>
          <w:p w14:paraId="72879031" w14:textId="77777777" w:rsidR="00034EA9" w:rsidRDefault="00034EA9" w:rsidP="00512BFF">
            <w:pPr>
              <w:spacing w:before="30" w:after="30"/>
              <w:rPr>
                <w:rFonts w:ascii="Arial" w:eastAsia="Arial" w:hAnsi="Arial" w:cs="Arial"/>
                <w:sz w:val="20"/>
                <w:szCs w:val="20"/>
              </w:rPr>
            </w:pPr>
          </w:p>
          <w:p w14:paraId="66F94EDA" w14:textId="77777777" w:rsidR="00034EA9" w:rsidRDefault="00034EA9" w:rsidP="00512BFF">
            <w:pPr>
              <w:spacing w:before="30" w:after="30"/>
              <w:rPr>
                <w:rFonts w:ascii="Arial" w:eastAsia="Arial" w:hAnsi="Arial" w:cs="Arial"/>
                <w:sz w:val="20"/>
                <w:szCs w:val="20"/>
              </w:rPr>
            </w:pPr>
          </w:p>
          <w:p w14:paraId="590DFE65" w14:textId="77777777" w:rsidR="00034EA9" w:rsidRDefault="00034EA9" w:rsidP="00512BFF">
            <w:pPr>
              <w:spacing w:before="30" w:after="30"/>
              <w:rPr>
                <w:rFonts w:ascii="Arial" w:eastAsia="Arial" w:hAnsi="Arial" w:cs="Arial"/>
                <w:sz w:val="20"/>
                <w:szCs w:val="20"/>
              </w:rPr>
            </w:pPr>
          </w:p>
          <w:p w14:paraId="0E230E68" w14:textId="0552EAFF" w:rsidR="00034EA9" w:rsidRDefault="00034EA9" w:rsidP="00512BFF">
            <w:pPr>
              <w:spacing w:before="30" w:after="30"/>
              <w:rPr>
                <w:rFonts w:ascii="Arial" w:eastAsia="Arial" w:hAnsi="Arial" w:cs="Arial"/>
                <w:sz w:val="20"/>
                <w:szCs w:val="20"/>
              </w:rPr>
            </w:pPr>
          </w:p>
        </w:tc>
      </w:tr>
      <w:tr w:rsidR="00691E8E" w14:paraId="756E6543" w14:textId="77777777" w:rsidTr="00691E8E">
        <w:trPr>
          <w:cantSplit/>
        </w:trPr>
        <w:tc>
          <w:tcPr>
            <w:tcW w:w="13495" w:type="dxa"/>
            <w:gridSpan w:val="3"/>
            <w:shd w:val="clear" w:color="auto" w:fill="E2EFD9" w:themeFill="accent6" w:themeFillTint="33"/>
          </w:tcPr>
          <w:p w14:paraId="7BAB4B23" w14:textId="262247B5" w:rsidR="00691E8E" w:rsidRPr="00691E8E" w:rsidRDefault="00691E8E" w:rsidP="00512BFF">
            <w:pPr>
              <w:spacing w:before="30" w:after="30"/>
              <w:rPr>
                <w:rFonts w:ascii="Arial" w:eastAsia="Arial" w:hAnsi="Arial" w:cs="Arial"/>
                <w:b/>
                <w:bCs/>
                <w:sz w:val="20"/>
                <w:szCs w:val="20"/>
              </w:rPr>
            </w:pPr>
            <w:r>
              <w:rPr>
                <w:rFonts w:ascii="Arial" w:eastAsia="Arial" w:hAnsi="Arial" w:cs="Arial"/>
                <w:b/>
                <w:bCs/>
                <w:sz w:val="20"/>
                <w:szCs w:val="20"/>
              </w:rPr>
              <w:lastRenderedPageBreak/>
              <w:t>2.3 Pooling</w:t>
            </w:r>
          </w:p>
        </w:tc>
      </w:tr>
      <w:tr w:rsidR="00691E8E" w14:paraId="37B9FCD0" w14:textId="77777777" w:rsidTr="004C17E8">
        <w:trPr>
          <w:cantSplit/>
        </w:trPr>
        <w:tc>
          <w:tcPr>
            <w:tcW w:w="625" w:type="dxa"/>
          </w:tcPr>
          <w:p w14:paraId="171A480D" w14:textId="48169E1F" w:rsidR="00691E8E" w:rsidRDefault="00691E8E" w:rsidP="00512BFF">
            <w:pPr>
              <w:spacing w:before="30" w:after="30"/>
              <w:jc w:val="center"/>
              <w:rPr>
                <w:rFonts w:ascii="Arial" w:eastAsia="Arial" w:hAnsi="Arial" w:cs="Arial"/>
                <w:sz w:val="20"/>
                <w:szCs w:val="20"/>
              </w:rPr>
            </w:pPr>
            <w:r>
              <w:rPr>
                <w:rFonts w:ascii="Arial" w:eastAsia="Arial" w:hAnsi="Arial" w:cs="Arial"/>
                <w:sz w:val="20"/>
                <w:szCs w:val="20"/>
              </w:rPr>
              <w:t>1.</w:t>
            </w:r>
          </w:p>
        </w:tc>
        <w:tc>
          <w:tcPr>
            <w:tcW w:w="6030" w:type="dxa"/>
          </w:tcPr>
          <w:p w14:paraId="664AD311" w14:textId="0B0EB845" w:rsidR="00691E8E" w:rsidRDefault="004C17E8" w:rsidP="00512BFF">
            <w:pPr>
              <w:spacing w:before="30" w:after="30"/>
              <w:rPr>
                <w:rFonts w:ascii="Arial" w:eastAsia="Arial" w:hAnsi="Arial" w:cs="Arial"/>
                <w:sz w:val="20"/>
                <w:szCs w:val="20"/>
              </w:rPr>
            </w:pPr>
            <w:r w:rsidRPr="004C17E8">
              <w:rPr>
                <w:rFonts w:ascii="Arial" w:eastAsia="Arial" w:hAnsi="Arial" w:cs="Arial"/>
                <w:sz w:val="20"/>
                <w:szCs w:val="20"/>
              </w:rPr>
              <w:t>Do you think that Gold Standard should consider restrictions on the ability of</w:t>
            </w:r>
            <w:r>
              <w:rPr>
                <w:rFonts w:ascii="Arial" w:eastAsia="Arial" w:hAnsi="Arial" w:cs="Arial"/>
                <w:sz w:val="20"/>
                <w:szCs w:val="20"/>
              </w:rPr>
              <w:t xml:space="preserve"> </w:t>
            </w:r>
            <w:r w:rsidRPr="004C17E8">
              <w:rPr>
                <w:rFonts w:ascii="Arial" w:eastAsia="Arial" w:hAnsi="Arial" w:cs="Arial"/>
                <w:sz w:val="20"/>
                <w:szCs w:val="20"/>
              </w:rPr>
              <w:t>organisations to pool its issued credits with credits from other standards. Why?</w:t>
            </w:r>
          </w:p>
        </w:tc>
        <w:tc>
          <w:tcPr>
            <w:tcW w:w="6840" w:type="dxa"/>
          </w:tcPr>
          <w:p w14:paraId="6160765B" w14:textId="7987C0F2" w:rsidR="00AD37A0" w:rsidRDefault="00C67D2E" w:rsidP="00512BFF">
            <w:pPr>
              <w:spacing w:before="30" w:after="30"/>
              <w:rPr>
                <w:rFonts w:ascii="Arial" w:eastAsia="Arial" w:hAnsi="Arial" w:cs="Arial"/>
                <w:sz w:val="20"/>
                <w:szCs w:val="20"/>
              </w:rPr>
            </w:pPr>
            <w:r>
              <w:rPr>
                <w:rFonts w:ascii="Arial" w:eastAsia="Arial" w:hAnsi="Arial" w:cs="Arial"/>
                <w:sz w:val="20"/>
                <w:szCs w:val="20"/>
              </w:rPr>
              <w:t xml:space="preserve">In our view, restrictions on pooling would not be beneficial to the carbon markets and therefore we suggest that </w:t>
            </w:r>
            <w:r w:rsidR="00FB75CB">
              <w:rPr>
                <w:rFonts w:ascii="Arial" w:eastAsia="Arial" w:hAnsi="Arial" w:cs="Arial"/>
                <w:sz w:val="20"/>
                <w:szCs w:val="20"/>
              </w:rPr>
              <w:t>GS</w:t>
            </w:r>
            <w:r>
              <w:rPr>
                <w:rFonts w:ascii="Arial" w:eastAsia="Arial" w:hAnsi="Arial" w:cs="Arial"/>
                <w:sz w:val="20"/>
                <w:szCs w:val="20"/>
              </w:rPr>
              <w:t xml:space="preserve"> refrain from imposing such restrictions. </w:t>
            </w:r>
          </w:p>
          <w:p w14:paraId="1D43DF5A" w14:textId="5D312533" w:rsidR="00AD37A0" w:rsidRDefault="00AD37A0" w:rsidP="00512BFF">
            <w:pPr>
              <w:spacing w:before="30" w:after="30"/>
              <w:rPr>
                <w:rFonts w:ascii="Arial" w:eastAsia="Arial" w:hAnsi="Arial" w:cs="Arial"/>
                <w:sz w:val="20"/>
                <w:szCs w:val="20"/>
              </w:rPr>
            </w:pPr>
            <w:r>
              <w:rPr>
                <w:rFonts w:ascii="Arial" w:eastAsia="Arial" w:hAnsi="Arial" w:cs="Arial"/>
                <w:sz w:val="20"/>
                <w:szCs w:val="20"/>
              </w:rPr>
              <w:t>The ability to pool carbon credits of similar type / category (including from different carbon registries) is an important enabler of the creation of pricing benchmarks. These pricing benchmarks, in turn, create transparency and drive increased liquidity in the carbon markets.</w:t>
            </w:r>
          </w:p>
          <w:p w14:paraId="0402BD1C" w14:textId="33075BC7" w:rsidR="00691E8E" w:rsidRDefault="001D5AE3" w:rsidP="00512BFF">
            <w:pPr>
              <w:spacing w:before="30" w:after="30"/>
              <w:rPr>
                <w:rFonts w:ascii="Arial" w:eastAsia="Arial" w:hAnsi="Arial" w:cs="Arial"/>
                <w:sz w:val="20"/>
                <w:szCs w:val="20"/>
              </w:rPr>
            </w:pPr>
            <w:r>
              <w:rPr>
                <w:rFonts w:ascii="Arial" w:eastAsia="Arial" w:hAnsi="Arial" w:cs="Arial"/>
                <w:sz w:val="20"/>
                <w:szCs w:val="20"/>
              </w:rPr>
              <w:t xml:space="preserve">We believe the carbon markets / market participants will be able to naturally address or influence any unsatisfactory pooling – </w:t>
            </w:r>
            <w:r w:rsidR="00903120">
              <w:rPr>
                <w:rFonts w:ascii="Arial" w:eastAsia="Arial" w:hAnsi="Arial" w:cs="Arial"/>
                <w:sz w:val="20"/>
                <w:szCs w:val="20"/>
              </w:rPr>
              <w:t>i.e.,</w:t>
            </w:r>
            <w:r>
              <w:rPr>
                <w:rFonts w:ascii="Arial" w:eastAsia="Arial" w:hAnsi="Arial" w:cs="Arial"/>
                <w:sz w:val="20"/>
                <w:szCs w:val="20"/>
              </w:rPr>
              <w:t xml:space="preserve"> those pooled contracts will naturally attract fewer buyers and sellers and ultimately lead to a re-evaluation / reconstruction of those pools.</w:t>
            </w:r>
          </w:p>
          <w:p w14:paraId="5F9023CB" w14:textId="56661E2B" w:rsidR="00EA5601" w:rsidRDefault="00211E98" w:rsidP="00512BFF">
            <w:pPr>
              <w:spacing w:before="30" w:after="30"/>
              <w:rPr>
                <w:rFonts w:ascii="Arial" w:eastAsia="Arial" w:hAnsi="Arial" w:cs="Arial"/>
                <w:sz w:val="20"/>
                <w:szCs w:val="20"/>
              </w:rPr>
            </w:pPr>
            <w:r>
              <w:rPr>
                <w:rFonts w:ascii="Arial" w:eastAsia="Arial" w:hAnsi="Arial" w:cs="Arial"/>
                <w:sz w:val="20"/>
                <w:szCs w:val="20"/>
              </w:rPr>
              <w:t xml:space="preserve">In addition, pooling does not harm GS since the market will always </w:t>
            </w:r>
            <w:r w:rsidR="00F3520A">
              <w:rPr>
                <w:rFonts w:ascii="Arial" w:eastAsia="Arial" w:hAnsi="Arial" w:cs="Arial"/>
                <w:sz w:val="20"/>
                <w:szCs w:val="20"/>
              </w:rPr>
              <w:t>trade the lowest priced offset in any pooled contract</w:t>
            </w:r>
            <w:r w:rsidR="00903120">
              <w:rPr>
                <w:rFonts w:ascii="Arial" w:eastAsia="Arial" w:hAnsi="Arial" w:cs="Arial"/>
                <w:sz w:val="20"/>
                <w:szCs w:val="20"/>
              </w:rPr>
              <w:t xml:space="preserve">. </w:t>
            </w:r>
            <w:r w:rsidR="00F3520A">
              <w:rPr>
                <w:rFonts w:ascii="Arial" w:eastAsia="Arial" w:hAnsi="Arial" w:cs="Arial"/>
                <w:sz w:val="20"/>
                <w:szCs w:val="20"/>
              </w:rPr>
              <w:t xml:space="preserve">For example, even though GS credits </w:t>
            </w:r>
            <w:r w:rsidR="00F9528C">
              <w:rPr>
                <w:rFonts w:ascii="Arial" w:eastAsia="Arial" w:hAnsi="Arial" w:cs="Arial"/>
                <w:sz w:val="20"/>
                <w:szCs w:val="20"/>
              </w:rPr>
              <w:t>are CORSIA eligible</w:t>
            </w:r>
            <w:r w:rsidR="00FB75CB">
              <w:rPr>
                <w:rFonts w:ascii="Arial" w:eastAsia="Arial" w:hAnsi="Arial" w:cs="Arial"/>
                <w:sz w:val="20"/>
                <w:szCs w:val="20"/>
              </w:rPr>
              <w:t>,</w:t>
            </w:r>
            <w:r w:rsidR="00F9528C">
              <w:rPr>
                <w:rFonts w:ascii="Arial" w:eastAsia="Arial" w:hAnsi="Arial" w:cs="Arial"/>
                <w:sz w:val="20"/>
                <w:szCs w:val="20"/>
              </w:rPr>
              <w:t xml:space="preserve"> they rarely (never) are tendered under a CORSIA pooled credit</w:t>
            </w:r>
            <w:r w:rsidR="00903120">
              <w:rPr>
                <w:rFonts w:ascii="Arial" w:eastAsia="Arial" w:hAnsi="Arial" w:cs="Arial"/>
                <w:sz w:val="20"/>
                <w:szCs w:val="20"/>
              </w:rPr>
              <w:t xml:space="preserve">. </w:t>
            </w:r>
            <w:r w:rsidR="00940AA7">
              <w:rPr>
                <w:rFonts w:ascii="Arial" w:eastAsia="Arial" w:hAnsi="Arial" w:cs="Arial"/>
                <w:sz w:val="20"/>
                <w:szCs w:val="20"/>
              </w:rPr>
              <w:t>The reason is that GS credits on their own trade at a premium to CORSIA.</w:t>
            </w:r>
          </w:p>
        </w:tc>
      </w:tr>
      <w:tr w:rsidR="00691E8E" w14:paraId="772990BE" w14:textId="77777777" w:rsidTr="004C17E8">
        <w:trPr>
          <w:cantSplit/>
        </w:trPr>
        <w:tc>
          <w:tcPr>
            <w:tcW w:w="625" w:type="dxa"/>
          </w:tcPr>
          <w:p w14:paraId="1A04309E" w14:textId="26BCEF98" w:rsidR="00691E8E" w:rsidRDefault="00691E8E" w:rsidP="00512BFF">
            <w:pPr>
              <w:spacing w:before="30" w:after="30"/>
              <w:jc w:val="center"/>
              <w:rPr>
                <w:rFonts w:ascii="Arial" w:eastAsia="Arial" w:hAnsi="Arial" w:cs="Arial"/>
                <w:sz w:val="20"/>
                <w:szCs w:val="20"/>
              </w:rPr>
            </w:pPr>
            <w:r>
              <w:rPr>
                <w:rFonts w:ascii="Arial" w:eastAsia="Arial" w:hAnsi="Arial" w:cs="Arial"/>
                <w:sz w:val="20"/>
                <w:szCs w:val="20"/>
              </w:rPr>
              <w:t>2.</w:t>
            </w:r>
          </w:p>
        </w:tc>
        <w:tc>
          <w:tcPr>
            <w:tcW w:w="6030" w:type="dxa"/>
          </w:tcPr>
          <w:p w14:paraId="2DC9E82E" w14:textId="5065728B" w:rsidR="00691E8E" w:rsidRDefault="004C17E8" w:rsidP="00512BFF">
            <w:pPr>
              <w:spacing w:before="30" w:after="30"/>
              <w:rPr>
                <w:rFonts w:ascii="Arial" w:eastAsia="Arial" w:hAnsi="Arial" w:cs="Arial"/>
                <w:sz w:val="20"/>
                <w:szCs w:val="20"/>
              </w:rPr>
            </w:pPr>
            <w:r w:rsidRPr="004C17E8">
              <w:rPr>
                <w:rFonts w:ascii="Arial" w:eastAsia="Arial" w:hAnsi="Arial" w:cs="Arial"/>
                <w:sz w:val="20"/>
                <w:szCs w:val="20"/>
              </w:rPr>
              <w:t>If the answer to the above question is yes, do you have views on how any</w:t>
            </w:r>
            <w:r>
              <w:rPr>
                <w:rFonts w:ascii="Arial" w:eastAsia="Arial" w:hAnsi="Arial" w:cs="Arial"/>
                <w:sz w:val="20"/>
                <w:szCs w:val="20"/>
              </w:rPr>
              <w:t xml:space="preserve"> </w:t>
            </w:r>
            <w:r w:rsidRPr="004C17E8">
              <w:rPr>
                <w:rFonts w:ascii="Arial" w:eastAsia="Arial" w:hAnsi="Arial" w:cs="Arial"/>
                <w:sz w:val="20"/>
                <w:szCs w:val="20"/>
              </w:rPr>
              <w:t>restrictions could operate?</w:t>
            </w:r>
          </w:p>
        </w:tc>
        <w:tc>
          <w:tcPr>
            <w:tcW w:w="6840" w:type="dxa"/>
          </w:tcPr>
          <w:p w14:paraId="35DCEAD4" w14:textId="5913215C" w:rsidR="00691E8E" w:rsidRDefault="00601CD8" w:rsidP="00512BFF">
            <w:pPr>
              <w:spacing w:before="30" w:after="30"/>
              <w:rPr>
                <w:rFonts w:ascii="Arial" w:eastAsia="Arial" w:hAnsi="Arial" w:cs="Arial"/>
                <w:sz w:val="20"/>
                <w:szCs w:val="20"/>
              </w:rPr>
            </w:pPr>
            <w:r>
              <w:rPr>
                <w:rFonts w:ascii="Arial" w:eastAsia="Arial" w:hAnsi="Arial" w:cs="Arial"/>
                <w:sz w:val="20"/>
                <w:szCs w:val="20"/>
              </w:rPr>
              <w:t>N.A.</w:t>
            </w:r>
          </w:p>
        </w:tc>
      </w:tr>
      <w:tr w:rsidR="004C17E8" w14:paraId="39DE7E71" w14:textId="77777777" w:rsidTr="004C17E8">
        <w:trPr>
          <w:cantSplit/>
        </w:trPr>
        <w:tc>
          <w:tcPr>
            <w:tcW w:w="625" w:type="dxa"/>
          </w:tcPr>
          <w:p w14:paraId="34711C49" w14:textId="39405603" w:rsidR="004C17E8" w:rsidRDefault="004C17E8" w:rsidP="00512BFF">
            <w:pPr>
              <w:spacing w:before="30" w:after="30"/>
              <w:jc w:val="center"/>
              <w:rPr>
                <w:rFonts w:ascii="Arial" w:eastAsia="Arial" w:hAnsi="Arial" w:cs="Arial"/>
                <w:sz w:val="20"/>
                <w:szCs w:val="20"/>
              </w:rPr>
            </w:pPr>
            <w:r>
              <w:rPr>
                <w:rFonts w:ascii="Arial" w:eastAsia="Arial" w:hAnsi="Arial" w:cs="Arial"/>
                <w:sz w:val="20"/>
                <w:szCs w:val="20"/>
              </w:rPr>
              <w:t>3.</w:t>
            </w:r>
          </w:p>
        </w:tc>
        <w:tc>
          <w:tcPr>
            <w:tcW w:w="6030" w:type="dxa"/>
          </w:tcPr>
          <w:p w14:paraId="7256E3A0" w14:textId="648C17AF" w:rsidR="004C17E8" w:rsidRDefault="004C17E8" w:rsidP="00512BFF">
            <w:pPr>
              <w:spacing w:before="30" w:after="30"/>
              <w:rPr>
                <w:rFonts w:ascii="Arial" w:eastAsia="Arial" w:hAnsi="Arial" w:cs="Arial"/>
                <w:sz w:val="20"/>
                <w:szCs w:val="20"/>
              </w:rPr>
            </w:pPr>
            <w:r w:rsidRPr="004C17E8">
              <w:rPr>
                <w:rFonts w:ascii="Arial" w:eastAsia="Arial" w:hAnsi="Arial" w:cs="Arial"/>
                <w:sz w:val="20"/>
                <w:szCs w:val="20"/>
              </w:rPr>
              <w:t>Would you like to share any additional comments on this topic?</w:t>
            </w:r>
          </w:p>
        </w:tc>
        <w:tc>
          <w:tcPr>
            <w:tcW w:w="6840" w:type="dxa"/>
          </w:tcPr>
          <w:p w14:paraId="0A67596E" w14:textId="330F9FE9" w:rsidR="004C17E8" w:rsidRDefault="00F91266" w:rsidP="00512BFF">
            <w:pPr>
              <w:spacing w:before="30" w:after="30"/>
              <w:rPr>
                <w:rFonts w:ascii="Arial" w:eastAsia="Arial" w:hAnsi="Arial" w:cs="Arial"/>
                <w:sz w:val="20"/>
                <w:szCs w:val="20"/>
              </w:rPr>
            </w:pPr>
            <w:r>
              <w:rPr>
                <w:rFonts w:ascii="Arial" w:eastAsia="Arial" w:hAnsi="Arial" w:cs="Arial"/>
                <w:sz w:val="20"/>
                <w:szCs w:val="20"/>
              </w:rPr>
              <w:t>No additional comments.</w:t>
            </w:r>
          </w:p>
        </w:tc>
      </w:tr>
      <w:tr w:rsidR="00691E8E" w14:paraId="5C13BCFA" w14:textId="77777777" w:rsidTr="00691E8E">
        <w:trPr>
          <w:cantSplit/>
        </w:trPr>
        <w:tc>
          <w:tcPr>
            <w:tcW w:w="13495" w:type="dxa"/>
            <w:gridSpan w:val="3"/>
            <w:shd w:val="clear" w:color="auto" w:fill="E2EFD9" w:themeFill="accent6" w:themeFillTint="33"/>
          </w:tcPr>
          <w:p w14:paraId="00EE9697" w14:textId="05529809" w:rsidR="00691E8E" w:rsidRPr="00691E8E" w:rsidRDefault="00691E8E" w:rsidP="00512BFF">
            <w:pPr>
              <w:spacing w:before="30" w:after="30"/>
              <w:rPr>
                <w:rFonts w:ascii="Arial" w:eastAsia="Arial" w:hAnsi="Arial" w:cs="Arial"/>
                <w:b/>
                <w:bCs/>
                <w:sz w:val="20"/>
                <w:szCs w:val="20"/>
              </w:rPr>
            </w:pPr>
            <w:r>
              <w:rPr>
                <w:rFonts w:ascii="Arial" w:eastAsia="Arial" w:hAnsi="Arial" w:cs="Arial"/>
                <w:b/>
                <w:bCs/>
                <w:sz w:val="20"/>
                <w:szCs w:val="20"/>
              </w:rPr>
              <w:t>2.4 Due Diligence</w:t>
            </w:r>
          </w:p>
        </w:tc>
      </w:tr>
      <w:tr w:rsidR="00691E8E" w14:paraId="68B0E3E7" w14:textId="77777777" w:rsidTr="004C17E8">
        <w:trPr>
          <w:cantSplit/>
        </w:trPr>
        <w:tc>
          <w:tcPr>
            <w:tcW w:w="625" w:type="dxa"/>
          </w:tcPr>
          <w:p w14:paraId="3C563DFE" w14:textId="6167EC02" w:rsidR="00691E8E" w:rsidRDefault="00691E8E" w:rsidP="00512BFF">
            <w:pPr>
              <w:spacing w:before="30" w:after="30"/>
              <w:jc w:val="center"/>
              <w:rPr>
                <w:rFonts w:ascii="Arial" w:eastAsia="Arial" w:hAnsi="Arial" w:cs="Arial"/>
                <w:sz w:val="20"/>
                <w:szCs w:val="20"/>
              </w:rPr>
            </w:pPr>
            <w:r>
              <w:rPr>
                <w:rFonts w:ascii="Arial" w:eastAsia="Arial" w:hAnsi="Arial" w:cs="Arial"/>
                <w:sz w:val="20"/>
                <w:szCs w:val="20"/>
              </w:rPr>
              <w:t>1.</w:t>
            </w:r>
          </w:p>
        </w:tc>
        <w:tc>
          <w:tcPr>
            <w:tcW w:w="6030" w:type="dxa"/>
          </w:tcPr>
          <w:p w14:paraId="53950699" w14:textId="39635720" w:rsidR="00691E8E" w:rsidRDefault="004C17E8" w:rsidP="00512BFF">
            <w:pPr>
              <w:spacing w:before="30" w:after="30"/>
              <w:rPr>
                <w:rFonts w:ascii="Arial" w:eastAsia="Arial" w:hAnsi="Arial" w:cs="Arial"/>
                <w:sz w:val="20"/>
                <w:szCs w:val="20"/>
              </w:rPr>
            </w:pPr>
            <w:r w:rsidRPr="004C17E8">
              <w:rPr>
                <w:rFonts w:ascii="Arial" w:eastAsia="Arial" w:hAnsi="Arial" w:cs="Arial"/>
                <w:sz w:val="20"/>
                <w:szCs w:val="20"/>
              </w:rPr>
              <w:t>Is it sufficient for organisations intending to create original on-chain</w:t>
            </w:r>
            <w:r>
              <w:rPr>
                <w:rFonts w:ascii="Arial" w:eastAsia="Arial" w:hAnsi="Arial" w:cs="Arial"/>
                <w:sz w:val="20"/>
                <w:szCs w:val="20"/>
              </w:rPr>
              <w:t xml:space="preserve"> </w:t>
            </w:r>
            <w:r w:rsidRPr="004C17E8">
              <w:rPr>
                <w:rFonts w:ascii="Arial" w:eastAsia="Arial" w:hAnsi="Arial" w:cs="Arial"/>
                <w:sz w:val="20"/>
                <w:szCs w:val="20"/>
              </w:rPr>
              <w:t>representations of Gold Standard credits to undergo our existing KYC checks, or</w:t>
            </w:r>
            <w:r>
              <w:rPr>
                <w:rFonts w:ascii="Arial" w:eastAsia="Arial" w:hAnsi="Arial" w:cs="Arial"/>
                <w:sz w:val="20"/>
                <w:szCs w:val="20"/>
              </w:rPr>
              <w:t xml:space="preserve"> </w:t>
            </w:r>
            <w:r w:rsidRPr="004C17E8">
              <w:rPr>
                <w:rFonts w:ascii="Arial" w:eastAsia="Arial" w:hAnsi="Arial" w:cs="Arial"/>
                <w:sz w:val="20"/>
                <w:szCs w:val="20"/>
              </w:rPr>
              <w:t>should further due diligence requirements be introduced? If so, for whom?</w:t>
            </w:r>
          </w:p>
        </w:tc>
        <w:tc>
          <w:tcPr>
            <w:tcW w:w="6840" w:type="dxa"/>
          </w:tcPr>
          <w:p w14:paraId="09ADC00B" w14:textId="6EFDF9CE" w:rsidR="00691E8E" w:rsidRDefault="00F41D1A" w:rsidP="00512BFF">
            <w:pPr>
              <w:spacing w:before="30" w:after="30"/>
              <w:rPr>
                <w:rFonts w:ascii="Arial" w:eastAsia="Arial" w:hAnsi="Arial" w:cs="Arial"/>
                <w:sz w:val="20"/>
                <w:szCs w:val="20"/>
              </w:rPr>
            </w:pPr>
            <w:r>
              <w:rPr>
                <w:rFonts w:ascii="Arial" w:eastAsia="Arial" w:hAnsi="Arial" w:cs="Arial"/>
                <w:sz w:val="20"/>
                <w:szCs w:val="20"/>
              </w:rPr>
              <w:t xml:space="preserve">We believe KYC checks should also be conducted by </w:t>
            </w:r>
            <w:r w:rsidRPr="004C17E8">
              <w:rPr>
                <w:rFonts w:ascii="Arial" w:eastAsia="Arial" w:hAnsi="Arial" w:cs="Arial"/>
                <w:sz w:val="20"/>
                <w:szCs w:val="20"/>
              </w:rPr>
              <w:t xml:space="preserve">organisations </w:t>
            </w:r>
            <w:r>
              <w:rPr>
                <w:rFonts w:ascii="Arial" w:eastAsia="Arial" w:hAnsi="Arial" w:cs="Arial"/>
                <w:sz w:val="20"/>
                <w:szCs w:val="20"/>
              </w:rPr>
              <w:t>tokenising</w:t>
            </w:r>
            <w:r w:rsidRPr="004C17E8">
              <w:rPr>
                <w:rFonts w:ascii="Arial" w:eastAsia="Arial" w:hAnsi="Arial" w:cs="Arial"/>
                <w:sz w:val="20"/>
                <w:szCs w:val="20"/>
              </w:rPr>
              <w:t xml:space="preserve"> </w:t>
            </w:r>
            <w:r w:rsidR="00FB75CB">
              <w:rPr>
                <w:rFonts w:ascii="Arial" w:eastAsia="Arial" w:hAnsi="Arial" w:cs="Arial"/>
                <w:sz w:val="20"/>
                <w:szCs w:val="20"/>
              </w:rPr>
              <w:t>GS</w:t>
            </w:r>
            <w:r w:rsidRPr="004C17E8">
              <w:rPr>
                <w:rFonts w:ascii="Arial" w:eastAsia="Arial" w:hAnsi="Arial" w:cs="Arial"/>
                <w:sz w:val="20"/>
                <w:szCs w:val="20"/>
              </w:rPr>
              <w:t xml:space="preserve"> credits</w:t>
            </w:r>
            <w:r>
              <w:rPr>
                <w:rFonts w:ascii="Arial" w:eastAsia="Arial" w:hAnsi="Arial" w:cs="Arial"/>
                <w:sz w:val="20"/>
                <w:szCs w:val="20"/>
              </w:rPr>
              <w:t xml:space="preserve"> on the initial and subsequent owners of those tokens (</w:t>
            </w:r>
            <w:r w:rsidR="00903120">
              <w:rPr>
                <w:rFonts w:ascii="Arial" w:eastAsia="Arial" w:hAnsi="Arial" w:cs="Arial"/>
                <w:sz w:val="20"/>
                <w:szCs w:val="20"/>
              </w:rPr>
              <w:t>i.e.,</w:t>
            </w:r>
            <w:r w:rsidR="003A286C">
              <w:rPr>
                <w:rFonts w:ascii="Arial" w:eastAsia="Arial" w:hAnsi="Arial" w:cs="Arial"/>
                <w:sz w:val="20"/>
                <w:szCs w:val="20"/>
              </w:rPr>
              <w:t xml:space="preserve"> </w:t>
            </w:r>
            <w:r>
              <w:rPr>
                <w:rFonts w:ascii="Arial" w:eastAsia="Arial" w:hAnsi="Arial" w:cs="Arial"/>
                <w:sz w:val="20"/>
                <w:szCs w:val="20"/>
              </w:rPr>
              <w:t xml:space="preserve">who would be the beneficial owners of the underlying Gold Standard credits). This would align with </w:t>
            </w:r>
            <w:r w:rsidR="00FB75CB">
              <w:rPr>
                <w:rFonts w:ascii="Arial" w:eastAsia="Arial" w:hAnsi="Arial" w:cs="Arial"/>
                <w:sz w:val="20"/>
                <w:szCs w:val="20"/>
              </w:rPr>
              <w:t>GS’s</w:t>
            </w:r>
            <w:r>
              <w:rPr>
                <w:rFonts w:ascii="Arial" w:eastAsia="Arial" w:hAnsi="Arial" w:cs="Arial"/>
                <w:sz w:val="20"/>
                <w:szCs w:val="20"/>
              </w:rPr>
              <w:t xml:space="preserve"> existing practice whereby holders of VERs are required to open </w:t>
            </w:r>
            <w:r w:rsidR="00FB75CB">
              <w:rPr>
                <w:rFonts w:ascii="Arial" w:eastAsia="Arial" w:hAnsi="Arial" w:cs="Arial"/>
                <w:sz w:val="20"/>
                <w:szCs w:val="20"/>
              </w:rPr>
              <w:t>GS</w:t>
            </w:r>
            <w:r>
              <w:rPr>
                <w:rFonts w:ascii="Arial" w:eastAsia="Arial" w:hAnsi="Arial" w:cs="Arial"/>
                <w:sz w:val="20"/>
                <w:szCs w:val="20"/>
              </w:rPr>
              <w:t xml:space="preserve"> accounts and therefore would have to undergo </w:t>
            </w:r>
            <w:r w:rsidR="00FB75CB">
              <w:rPr>
                <w:rFonts w:ascii="Arial" w:eastAsia="Arial" w:hAnsi="Arial" w:cs="Arial"/>
                <w:sz w:val="20"/>
                <w:szCs w:val="20"/>
              </w:rPr>
              <w:t>GS’s</w:t>
            </w:r>
            <w:r>
              <w:rPr>
                <w:rFonts w:ascii="Arial" w:eastAsia="Arial" w:hAnsi="Arial" w:cs="Arial"/>
                <w:sz w:val="20"/>
                <w:szCs w:val="20"/>
              </w:rPr>
              <w:t xml:space="preserve"> KYC checks.</w:t>
            </w:r>
          </w:p>
          <w:p w14:paraId="20655829" w14:textId="77777777" w:rsidR="00EF0632" w:rsidRDefault="00EF0632" w:rsidP="00512BFF">
            <w:pPr>
              <w:spacing w:before="30" w:after="30"/>
              <w:rPr>
                <w:rFonts w:ascii="Arial" w:eastAsia="Arial" w:hAnsi="Arial" w:cs="Arial"/>
                <w:sz w:val="20"/>
                <w:szCs w:val="20"/>
              </w:rPr>
            </w:pPr>
          </w:p>
          <w:p w14:paraId="172B06CF" w14:textId="4E7A4ACD" w:rsidR="003A286C" w:rsidRDefault="003A286C" w:rsidP="00512BFF">
            <w:pPr>
              <w:spacing w:before="30" w:after="30"/>
              <w:rPr>
                <w:rFonts w:ascii="Arial" w:eastAsia="Arial" w:hAnsi="Arial" w:cs="Arial"/>
                <w:sz w:val="20"/>
                <w:szCs w:val="20"/>
              </w:rPr>
            </w:pPr>
            <w:r>
              <w:rPr>
                <w:rFonts w:ascii="Arial" w:eastAsia="Arial" w:hAnsi="Arial" w:cs="Arial"/>
                <w:sz w:val="20"/>
                <w:szCs w:val="20"/>
              </w:rPr>
              <w:t xml:space="preserve">For completeness, we would add that where a token holder seeks to retire the underlying </w:t>
            </w:r>
            <w:r w:rsidR="00FB75CB">
              <w:rPr>
                <w:rFonts w:ascii="Arial" w:eastAsia="Arial" w:hAnsi="Arial" w:cs="Arial"/>
                <w:sz w:val="20"/>
                <w:szCs w:val="20"/>
              </w:rPr>
              <w:t xml:space="preserve">GS </w:t>
            </w:r>
            <w:r>
              <w:rPr>
                <w:rFonts w:ascii="Arial" w:eastAsia="Arial" w:hAnsi="Arial" w:cs="Arial"/>
                <w:sz w:val="20"/>
                <w:szCs w:val="20"/>
              </w:rPr>
              <w:t xml:space="preserve">credits in the name of a third party, we do not think it necessary (or feasible) for KYC checks to be done on such third party as such third party would not have had any ownership or other rights in respect of the token or the underlying </w:t>
            </w:r>
            <w:r w:rsidR="00FB75CB">
              <w:rPr>
                <w:rFonts w:ascii="Arial" w:eastAsia="Arial" w:hAnsi="Arial" w:cs="Arial"/>
                <w:sz w:val="20"/>
                <w:szCs w:val="20"/>
              </w:rPr>
              <w:t>GS</w:t>
            </w:r>
            <w:r>
              <w:rPr>
                <w:rFonts w:ascii="Arial" w:eastAsia="Arial" w:hAnsi="Arial" w:cs="Arial"/>
                <w:sz w:val="20"/>
                <w:szCs w:val="20"/>
              </w:rPr>
              <w:t xml:space="preserve"> credits other than the ability only to claim the environmental benefit of the retirement. We believe this aligns with current practice whereby </w:t>
            </w:r>
            <w:r w:rsidR="00FB75CB">
              <w:rPr>
                <w:rFonts w:ascii="Arial" w:eastAsia="Arial" w:hAnsi="Arial" w:cs="Arial"/>
                <w:sz w:val="20"/>
                <w:szCs w:val="20"/>
              </w:rPr>
              <w:t>GS</w:t>
            </w:r>
            <w:r>
              <w:rPr>
                <w:rFonts w:ascii="Arial" w:eastAsia="Arial" w:hAnsi="Arial" w:cs="Arial"/>
                <w:sz w:val="20"/>
                <w:szCs w:val="20"/>
              </w:rPr>
              <w:t xml:space="preserve"> allows account holders to retire VERs in the name of third parties and does not conduct KYC checks on such third parties.</w:t>
            </w:r>
          </w:p>
        </w:tc>
      </w:tr>
      <w:tr w:rsidR="00691E8E" w14:paraId="6CABC457" w14:textId="77777777" w:rsidTr="004C17E8">
        <w:trPr>
          <w:cantSplit/>
        </w:trPr>
        <w:tc>
          <w:tcPr>
            <w:tcW w:w="625" w:type="dxa"/>
          </w:tcPr>
          <w:p w14:paraId="391FB3E4" w14:textId="6AD5E483" w:rsidR="00691E8E" w:rsidRDefault="00691E8E" w:rsidP="00512BFF">
            <w:pPr>
              <w:spacing w:before="30" w:after="30"/>
              <w:jc w:val="center"/>
              <w:rPr>
                <w:rFonts w:ascii="Arial" w:eastAsia="Arial" w:hAnsi="Arial" w:cs="Arial"/>
                <w:sz w:val="20"/>
                <w:szCs w:val="20"/>
              </w:rPr>
            </w:pPr>
            <w:r>
              <w:rPr>
                <w:rFonts w:ascii="Arial" w:eastAsia="Arial" w:hAnsi="Arial" w:cs="Arial"/>
                <w:sz w:val="20"/>
                <w:szCs w:val="20"/>
              </w:rPr>
              <w:lastRenderedPageBreak/>
              <w:t>2.</w:t>
            </w:r>
          </w:p>
        </w:tc>
        <w:tc>
          <w:tcPr>
            <w:tcW w:w="6030" w:type="dxa"/>
          </w:tcPr>
          <w:p w14:paraId="1044F38B" w14:textId="3F690E67" w:rsidR="00691E8E" w:rsidRDefault="004C17E8" w:rsidP="00512BFF">
            <w:pPr>
              <w:spacing w:before="30" w:after="30"/>
              <w:rPr>
                <w:rFonts w:ascii="Arial" w:eastAsia="Arial" w:hAnsi="Arial" w:cs="Arial"/>
                <w:sz w:val="20"/>
                <w:szCs w:val="20"/>
              </w:rPr>
            </w:pPr>
            <w:r w:rsidRPr="004C17E8">
              <w:rPr>
                <w:rFonts w:ascii="Arial" w:eastAsia="Arial" w:hAnsi="Arial" w:cs="Arial"/>
                <w:sz w:val="20"/>
                <w:szCs w:val="20"/>
              </w:rPr>
              <w:t>Do you think that Gold Standard should introduce requirements related to the due</w:t>
            </w:r>
            <w:r>
              <w:rPr>
                <w:rFonts w:ascii="Arial" w:eastAsia="Arial" w:hAnsi="Arial" w:cs="Arial"/>
                <w:sz w:val="20"/>
                <w:szCs w:val="20"/>
              </w:rPr>
              <w:t xml:space="preserve"> </w:t>
            </w:r>
            <w:r w:rsidRPr="004C17E8">
              <w:rPr>
                <w:rFonts w:ascii="Arial" w:eastAsia="Arial" w:hAnsi="Arial" w:cs="Arial"/>
                <w:sz w:val="20"/>
                <w:szCs w:val="20"/>
              </w:rPr>
              <w:t>diligence checks that organisations creating digital tokens representing Gold</w:t>
            </w:r>
            <w:r>
              <w:rPr>
                <w:rFonts w:ascii="Arial" w:eastAsia="Arial" w:hAnsi="Arial" w:cs="Arial"/>
                <w:sz w:val="20"/>
                <w:szCs w:val="20"/>
              </w:rPr>
              <w:t xml:space="preserve"> </w:t>
            </w:r>
            <w:r w:rsidRPr="004C17E8">
              <w:rPr>
                <w:rFonts w:ascii="Arial" w:eastAsia="Arial" w:hAnsi="Arial" w:cs="Arial"/>
                <w:sz w:val="20"/>
                <w:szCs w:val="20"/>
              </w:rPr>
              <w:t>Standard credits apply for their own users?</w:t>
            </w:r>
          </w:p>
        </w:tc>
        <w:tc>
          <w:tcPr>
            <w:tcW w:w="6840" w:type="dxa"/>
          </w:tcPr>
          <w:p w14:paraId="403FDA70" w14:textId="497F8032" w:rsidR="00691E8E" w:rsidRDefault="00F41D1A" w:rsidP="00512BFF">
            <w:pPr>
              <w:spacing w:before="30" w:after="30"/>
              <w:rPr>
                <w:rFonts w:ascii="Arial" w:eastAsia="Arial" w:hAnsi="Arial" w:cs="Arial"/>
                <w:sz w:val="20"/>
                <w:szCs w:val="20"/>
              </w:rPr>
            </w:pPr>
            <w:r>
              <w:rPr>
                <w:rFonts w:ascii="Arial" w:eastAsia="Arial" w:hAnsi="Arial" w:cs="Arial"/>
                <w:sz w:val="20"/>
                <w:szCs w:val="20"/>
              </w:rPr>
              <w:t>Yes – see our response to 2.4.1 above.</w:t>
            </w:r>
          </w:p>
        </w:tc>
      </w:tr>
      <w:tr w:rsidR="00691E8E" w14:paraId="396B7A35" w14:textId="77777777" w:rsidTr="004C17E8">
        <w:trPr>
          <w:cantSplit/>
        </w:trPr>
        <w:tc>
          <w:tcPr>
            <w:tcW w:w="625" w:type="dxa"/>
          </w:tcPr>
          <w:p w14:paraId="59EF9B4B" w14:textId="2AAC62FD" w:rsidR="00691E8E" w:rsidRDefault="00691E8E" w:rsidP="00512BFF">
            <w:pPr>
              <w:spacing w:before="30" w:after="30"/>
              <w:jc w:val="center"/>
              <w:rPr>
                <w:rFonts w:ascii="Arial" w:eastAsia="Arial" w:hAnsi="Arial" w:cs="Arial"/>
                <w:sz w:val="20"/>
                <w:szCs w:val="20"/>
              </w:rPr>
            </w:pPr>
            <w:r>
              <w:rPr>
                <w:rFonts w:ascii="Arial" w:eastAsia="Arial" w:hAnsi="Arial" w:cs="Arial"/>
                <w:sz w:val="20"/>
                <w:szCs w:val="20"/>
              </w:rPr>
              <w:t>3.</w:t>
            </w:r>
          </w:p>
        </w:tc>
        <w:tc>
          <w:tcPr>
            <w:tcW w:w="6030" w:type="dxa"/>
          </w:tcPr>
          <w:p w14:paraId="58258016" w14:textId="6F30E0B9" w:rsidR="00691E8E" w:rsidRDefault="004C17E8" w:rsidP="00512BFF">
            <w:pPr>
              <w:spacing w:before="30" w:after="30"/>
              <w:rPr>
                <w:rFonts w:ascii="Arial" w:eastAsia="Arial" w:hAnsi="Arial" w:cs="Arial"/>
                <w:sz w:val="20"/>
                <w:szCs w:val="20"/>
              </w:rPr>
            </w:pPr>
            <w:r w:rsidRPr="004C17E8">
              <w:rPr>
                <w:rFonts w:ascii="Arial" w:eastAsia="Arial" w:hAnsi="Arial" w:cs="Arial"/>
                <w:sz w:val="20"/>
                <w:szCs w:val="20"/>
              </w:rPr>
              <w:t>Are there examples from other sectors that you believe could be learned from?</w:t>
            </w:r>
          </w:p>
        </w:tc>
        <w:tc>
          <w:tcPr>
            <w:tcW w:w="6840" w:type="dxa"/>
          </w:tcPr>
          <w:p w14:paraId="31AF9ECA" w14:textId="6B8202EF" w:rsidR="00691E8E" w:rsidRPr="00821080" w:rsidRDefault="00821080" w:rsidP="00512BFF">
            <w:pPr>
              <w:spacing w:before="30" w:after="30"/>
              <w:rPr>
                <w:rFonts w:ascii="Arial" w:eastAsia="Arial" w:hAnsi="Arial" w:cs="Arial"/>
                <w:sz w:val="20"/>
                <w:szCs w:val="20"/>
              </w:rPr>
            </w:pPr>
            <w:r>
              <w:rPr>
                <w:rFonts w:ascii="Arial" w:eastAsia="Arial" w:hAnsi="Arial" w:cs="Arial"/>
                <w:sz w:val="20"/>
                <w:szCs w:val="20"/>
              </w:rPr>
              <w:t>C</w:t>
            </w:r>
            <w:r w:rsidR="00980A3B">
              <w:rPr>
                <w:rFonts w:ascii="Arial" w:eastAsia="Arial" w:hAnsi="Arial" w:cs="Arial"/>
                <w:sz w:val="20"/>
                <w:szCs w:val="20"/>
              </w:rPr>
              <w:t>ommodities trade on traditional exchanges through the transfer of warehouse receipt</w:t>
            </w:r>
            <w:r w:rsidR="00BE4F1A">
              <w:rPr>
                <w:rFonts w:ascii="Arial" w:eastAsia="Arial" w:hAnsi="Arial" w:cs="Arial"/>
                <w:sz w:val="20"/>
                <w:szCs w:val="20"/>
              </w:rPr>
              <w:t>s</w:t>
            </w:r>
            <w:r w:rsidR="00903120">
              <w:rPr>
                <w:rFonts w:ascii="Arial" w:eastAsia="Arial" w:hAnsi="Arial" w:cs="Arial"/>
                <w:sz w:val="20"/>
                <w:szCs w:val="20"/>
              </w:rPr>
              <w:t xml:space="preserve">. </w:t>
            </w:r>
            <w:r w:rsidR="00BE4F1A">
              <w:rPr>
                <w:rFonts w:ascii="Arial" w:eastAsia="Arial" w:hAnsi="Arial" w:cs="Arial"/>
                <w:sz w:val="20"/>
                <w:szCs w:val="20"/>
              </w:rPr>
              <w:t xml:space="preserve">Tokenized GS credits can be considered a warehouse receipt in digital form allowing for the </w:t>
            </w:r>
            <w:r w:rsidR="0078041F">
              <w:rPr>
                <w:rFonts w:ascii="Arial" w:eastAsia="Arial" w:hAnsi="Arial" w:cs="Arial"/>
                <w:sz w:val="20"/>
                <w:szCs w:val="20"/>
              </w:rPr>
              <w:t>quick and efficient transfer of ownership.</w:t>
            </w:r>
          </w:p>
        </w:tc>
      </w:tr>
      <w:tr w:rsidR="00691E8E" w14:paraId="5508FADF" w14:textId="77777777" w:rsidTr="004C17E8">
        <w:trPr>
          <w:cantSplit/>
        </w:trPr>
        <w:tc>
          <w:tcPr>
            <w:tcW w:w="625" w:type="dxa"/>
          </w:tcPr>
          <w:p w14:paraId="41B22FE1" w14:textId="325E3EE1" w:rsidR="00691E8E" w:rsidRDefault="00691E8E" w:rsidP="00512BFF">
            <w:pPr>
              <w:spacing w:before="30" w:after="30"/>
              <w:jc w:val="center"/>
              <w:rPr>
                <w:rFonts w:ascii="Arial" w:eastAsia="Arial" w:hAnsi="Arial" w:cs="Arial"/>
                <w:sz w:val="20"/>
                <w:szCs w:val="20"/>
              </w:rPr>
            </w:pPr>
            <w:r>
              <w:rPr>
                <w:rFonts w:ascii="Arial" w:eastAsia="Arial" w:hAnsi="Arial" w:cs="Arial"/>
                <w:sz w:val="20"/>
                <w:szCs w:val="20"/>
              </w:rPr>
              <w:t>4.</w:t>
            </w:r>
          </w:p>
        </w:tc>
        <w:tc>
          <w:tcPr>
            <w:tcW w:w="6030" w:type="dxa"/>
          </w:tcPr>
          <w:p w14:paraId="19557A9C" w14:textId="1A220274" w:rsidR="00691E8E" w:rsidRDefault="004C17E8" w:rsidP="00512BFF">
            <w:pPr>
              <w:spacing w:before="30" w:after="30"/>
              <w:rPr>
                <w:rFonts w:ascii="Arial" w:eastAsia="Arial" w:hAnsi="Arial" w:cs="Arial"/>
                <w:sz w:val="20"/>
                <w:szCs w:val="20"/>
              </w:rPr>
            </w:pPr>
            <w:r w:rsidRPr="004C17E8">
              <w:rPr>
                <w:rFonts w:ascii="Arial" w:eastAsia="Arial" w:hAnsi="Arial" w:cs="Arial"/>
                <w:sz w:val="20"/>
                <w:szCs w:val="20"/>
              </w:rPr>
              <w:t>Would you like to share any additional comments on this topic?</w:t>
            </w:r>
          </w:p>
        </w:tc>
        <w:tc>
          <w:tcPr>
            <w:tcW w:w="6840" w:type="dxa"/>
          </w:tcPr>
          <w:p w14:paraId="2FE09034" w14:textId="36B949F4" w:rsidR="00691E8E" w:rsidRDefault="00F91266" w:rsidP="00512BFF">
            <w:pPr>
              <w:spacing w:before="30" w:after="30"/>
              <w:rPr>
                <w:rFonts w:ascii="Arial" w:eastAsia="Arial" w:hAnsi="Arial" w:cs="Arial"/>
                <w:sz w:val="20"/>
                <w:szCs w:val="20"/>
              </w:rPr>
            </w:pPr>
            <w:r>
              <w:rPr>
                <w:rFonts w:ascii="Arial" w:eastAsia="Arial" w:hAnsi="Arial" w:cs="Arial"/>
                <w:sz w:val="20"/>
                <w:szCs w:val="20"/>
              </w:rPr>
              <w:t xml:space="preserve">No </w:t>
            </w:r>
            <w:r w:rsidR="00F00108">
              <w:rPr>
                <w:rFonts w:ascii="Arial" w:eastAsia="Arial" w:hAnsi="Arial" w:cs="Arial"/>
                <w:sz w:val="20"/>
                <w:szCs w:val="20"/>
              </w:rPr>
              <w:t xml:space="preserve">additional </w:t>
            </w:r>
            <w:r>
              <w:rPr>
                <w:rFonts w:ascii="Arial" w:eastAsia="Arial" w:hAnsi="Arial" w:cs="Arial"/>
                <w:sz w:val="20"/>
                <w:szCs w:val="20"/>
              </w:rPr>
              <w:t>comments.</w:t>
            </w:r>
          </w:p>
        </w:tc>
      </w:tr>
      <w:tr w:rsidR="00691E8E" w14:paraId="33A53764" w14:textId="77777777" w:rsidTr="00691E8E">
        <w:trPr>
          <w:cantSplit/>
        </w:trPr>
        <w:tc>
          <w:tcPr>
            <w:tcW w:w="13495" w:type="dxa"/>
            <w:gridSpan w:val="3"/>
            <w:shd w:val="clear" w:color="auto" w:fill="E2EFD9" w:themeFill="accent6" w:themeFillTint="33"/>
          </w:tcPr>
          <w:p w14:paraId="0DFCBB2C" w14:textId="0528275B" w:rsidR="00691E8E" w:rsidRPr="00691E8E" w:rsidRDefault="00691E8E" w:rsidP="00512BFF">
            <w:pPr>
              <w:spacing w:before="30" w:after="30"/>
              <w:rPr>
                <w:rFonts w:ascii="Arial" w:eastAsia="Arial" w:hAnsi="Arial" w:cs="Arial"/>
                <w:b/>
                <w:bCs/>
                <w:sz w:val="20"/>
                <w:szCs w:val="20"/>
              </w:rPr>
            </w:pPr>
            <w:r>
              <w:rPr>
                <w:rFonts w:ascii="Arial" w:eastAsia="Arial" w:hAnsi="Arial" w:cs="Arial"/>
                <w:b/>
                <w:bCs/>
                <w:sz w:val="20"/>
                <w:szCs w:val="20"/>
              </w:rPr>
              <w:t>2.5 Sustainability</w:t>
            </w:r>
          </w:p>
        </w:tc>
      </w:tr>
      <w:tr w:rsidR="00691E8E" w14:paraId="1B17DEF0" w14:textId="77777777" w:rsidTr="004C17E8">
        <w:trPr>
          <w:cantSplit/>
          <w:trHeight w:val="134"/>
        </w:trPr>
        <w:tc>
          <w:tcPr>
            <w:tcW w:w="625" w:type="dxa"/>
          </w:tcPr>
          <w:p w14:paraId="3DEC3928" w14:textId="138475F0" w:rsidR="00691E8E" w:rsidRDefault="00691E8E" w:rsidP="00512BFF">
            <w:pPr>
              <w:spacing w:before="30" w:after="30"/>
              <w:jc w:val="center"/>
              <w:rPr>
                <w:rFonts w:ascii="Arial" w:eastAsia="Arial" w:hAnsi="Arial" w:cs="Arial"/>
                <w:sz w:val="20"/>
                <w:szCs w:val="20"/>
              </w:rPr>
            </w:pPr>
            <w:r>
              <w:rPr>
                <w:rFonts w:ascii="Arial" w:eastAsia="Arial" w:hAnsi="Arial" w:cs="Arial"/>
                <w:sz w:val="20"/>
                <w:szCs w:val="20"/>
              </w:rPr>
              <w:t>1.</w:t>
            </w:r>
          </w:p>
        </w:tc>
        <w:tc>
          <w:tcPr>
            <w:tcW w:w="6030" w:type="dxa"/>
          </w:tcPr>
          <w:p w14:paraId="4743D62F" w14:textId="6D703BFF" w:rsidR="00691E8E" w:rsidRDefault="004C17E8" w:rsidP="00512BFF">
            <w:pPr>
              <w:spacing w:before="30" w:after="30"/>
              <w:rPr>
                <w:rFonts w:ascii="Arial" w:eastAsia="Arial" w:hAnsi="Arial" w:cs="Arial"/>
                <w:sz w:val="20"/>
                <w:szCs w:val="20"/>
              </w:rPr>
            </w:pPr>
            <w:r w:rsidRPr="004C17E8">
              <w:rPr>
                <w:rFonts w:ascii="Arial" w:eastAsia="Arial" w:hAnsi="Arial" w:cs="Arial"/>
                <w:sz w:val="20"/>
                <w:szCs w:val="20"/>
              </w:rPr>
              <w:t>Do you agree that Gold Standard should apply restrictions related to the emissions</w:t>
            </w:r>
            <w:r>
              <w:rPr>
                <w:rFonts w:ascii="Arial" w:eastAsia="Arial" w:hAnsi="Arial" w:cs="Arial"/>
                <w:sz w:val="20"/>
                <w:szCs w:val="20"/>
              </w:rPr>
              <w:t xml:space="preserve"> </w:t>
            </w:r>
            <w:r w:rsidRPr="004C17E8">
              <w:rPr>
                <w:rFonts w:ascii="Arial" w:eastAsia="Arial" w:hAnsi="Arial" w:cs="Arial"/>
                <w:sz w:val="20"/>
                <w:szCs w:val="20"/>
              </w:rPr>
              <w:t>footprint of blockchain technologies?</w:t>
            </w:r>
          </w:p>
        </w:tc>
        <w:tc>
          <w:tcPr>
            <w:tcW w:w="6840" w:type="dxa"/>
          </w:tcPr>
          <w:p w14:paraId="107CB426" w14:textId="773B1F55" w:rsidR="00691E8E" w:rsidRDefault="00FA4C18" w:rsidP="00512BFF">
            <w:pPr>
              <w:spacing w:before="30" w:after="30"/>
              <w:rPr>
                <w:rFonts w:ascii="Arial" w:eastAsia="Arial" w:hAnsi="Arial" w:cs="Arial"/>
                <w:sz w:val="20"/>
                <w:szCs w:val="20"/>
              </w:rPr>
            </w:pPr>
            <w:r>
              <w:rPr>
                <w:rFonts w:ascii="Arial" w:eastAsia="Arial" w:hAnsi="Arial" w:cs="Arial"/>
                <w:sz w:val="20"/>
                <w:szCs w:val="20"/>
              </w:rPr>
              <w:t xml:space="preserve">Yes – this would align with </w:t>
            </w:r>
            <w:r w:rsidR="00FB75CB">
              <w:rPr>
                <w:rFonts w:ascii="Arial" w:eastAsia="Arial" w:hAnsi="Arial" w:cs="Arial"/>
                <w:sz w:val="20"/>
                <w:szCs w:val="20"/>
              </w:rPr>
              <w:t>GS’s</w:t>
            </w:r>
            <w:r>
              <w:rPr>
                <w:rFonts w:ascii="Arial" w:eastAsia="Arial" w:hAnsi="Arial" w:cs="Arial"/>
                <w:sz w:val="20"/>
                <w:szCs w:val="20"/>
              </w:rPr>
              <w:t xml:space="preserve"> vision of achieving climate security and sustainable development</w:t>
            </w:r>
            <w:r w:rsidR="00903120">
              <w:rPr>
                <w:rFonts w:ascii="Arial" w:eastAsia="Arial" w:hAnsi="Arial" w:cs="Arial"/>
                <w:sz w:val="20"/>
                <w:szCs w:val="20"/>
              </w:rPr>
              <w:t xml:space="preserve">. </w:t>
            </w:r>
            <w:r w:rsidR="007E6C7B">
              <w:rPr>
                <w:rFonts w:ascii="Arial" w:eastAsia="Arial" w:hAnsi="Arial" w:cs="Arial"/>
                <w:sz w:val="20"/>
                <w:szCs w:val="20"/>
              </w:rPr>
              <w:t xml:space="preserve">Care should be taken to allow mainstream </w:t>
            </w:r>
            <w:r w:rsidR="00986433">
              <w:rPr>
                <w:rFonts w:ascii="Arial" w:eastAsia="Arial" w:hAnsi="Arial" w:cs="Arial"/>
                <w:sz w:val="20"/>
                <w:szCs w:val="20"/>
              </w:rPr>
              <w:t>smart</w:t>
            </w:r>
            <w:r w:rsidR="00546C22">
              <w:rPr>
                <w:rFonts w:ascii="Arial" w:eastAsia="Arial" w:hAnsi="Arial" w:cs="Arial"/>
                <w:sz w:val="20"/>
                <w:szCs w:val="20"/>
              </w:rPr>
              <w:t>-</w:t>
            </w:r>
            <w:r w:rsidR="00986433">
              <w:rPr>
                <w:rFonts w:ascii="Arial" w:eastAsia="Arial" w:hAnsi="Arial" w:cs="Arial"/>
                <w:sz w:val="20"/>
                <w:szCs w:val="20"/>
              </w:rPr>
              <w:t xml:space="preserve">contract </w:t>
            </w:r>
            <w:r w:rsidR="00546C22">
              <w:rPr>
                <w:rFonts w:ascii="Arial" w:eastAsia="Arial" w:hAnsi="Arial" w:cs="Arial"/>
                <w:sz w:val="20"/>
                <w:szCs w:val="20"/>
              </w:rPr>
              <w:t xml:space="preserve">capable and </w:t>
            </w:r>
            <w:r w:rsidR="00E55853">
              <w:rPr>
                <w:rFonts w:ascii="Arial" w:eastAsia="Arial" w:hAnsi="Arial" w:cs="Arial"/>
                <w:sz w:val="20"/>
                <w:szCs w:val="20"/>
              </w:rPr>
              <w:t>EVM</w:t>
            </w:r>
            <w:r w:rsidR="00546C22">
              <w:rPr>
                <w:rFonts w:ascii="Arial" w:eastAsia="Arial" w:hAnsi="Arial" w:cs="Arial"/>
                <w:sz w:val="20"/>
                <w:szCs w:val="20"/>
              </w:rPr>
              <w:t xml:space="preserve">-compatible </w:t>
            </w:r>
            <w:r w:rsidR="007E6C7B">
              <w:rPr>
                <w:rFonts w:ascii="Arial" w:eastAsia="Arial" w:hAnsi="Arial" w:cs="Arial"/>
                <w:sz w:val="20"/>
                <w:szCs w:val="20"/>
              </w:rPr>
              <w:t>blockchain</w:t>
            </w:r>
            <w:r w:rsidR="00DB733E">
              <w:rPr>
                <w:rFonts w:ascii="Arial" w:eastAsia="Arial" w:hAnsi="Arial" w:cs="Arial"/>
                <w:sz w:val="20"/>
                <w:szCs w:val="20"/>
              </w:rPr>
              <w:t>s such as Polygon</w:t>
            </w:r>
            <w:r w:rsidR="00903120">
              <w:rPr>
                <w:rFonts w:ascii="Arial" w:eastAsia="Arial" w:hAnsi="Arial" w:cs="Arial"/>
                <w:sz w:val="20"/>
                <w:szCs w:val="20"/>
              </w:rPr>
              <w:t xml:space="preserve">. </w:t>
            </w:r>
            <w:r w:rsidR="00DB733E">
              <w:rPr>
                <w:rFonts w:ascii="Arial" w:eastAsia="Arial" w:hAnsi="Arial" w:cs="Arial"/>
                <w:sz w:val="20"/>
                <w:szCs w:val="20"/>
              </w:rPr>
              <w:t xml:space="preserve">Using small unproven </w:t>
            </w:r>
            <w:r w:rsidR="00E04BF1">
              <w:rPr>
                <w:rFonts w:ascii="Arial" w:eastAsia="Arial" w:hAnsi="Arial" w:cs="Arial"/>
                <w:sz w:val="20"/>
                <w:szCs w:val="20"/>
              </w:rPr>
              <w:t>networks such as CHIA is counterproductive.</w:t>
            </w:r>
          </w:p>
        </w:tc>
      </w:tr>
      <w:tr w:rsidR="00691E8E" w14:paraId="70D44A22" w14:textId="77777777" w:rsidTr="004C17E8">
        <w:trPr>
          <w:cantSplit/>
          <w:trHeight w:val="134"/>
        </w:trPr>
        <w:tc>
          <w:tcPr>
            <w:tcW w:w="625" w:type="dxa"/>
          </w:tcPr>
          <w:p w14:paraId="243C7C6C" w14:textId="5BAD388D" w:rsidR="00691E8E" w:rsidRDefault="00691E8E" w:rsidP="00512BFF">
            <w:pPr>
              <w:spacing w:before="30" w:after="30"/>
              <w:jc w:val="center"/>
              <w:rPr>
                <w:rFonts w:ascii="Arial" w:eastAsia="Arial" w:hAnsi="Arial" w:cs="Arial"/>
                <w:sz w:val="20"/>
                <w:szCs w:val="20"/>
              </w:rPr>
            </w:pPr>
            <w:r>
              <w:rPr>
                <w:rFonts w:ascii="Arial" w:eastAsia="Arial" w:hAnsi="Arial" w:cs="Arial"/>
                <w:sz w:val="20"/>
                <w:szCs w:val="20"/>
              </w:rPr>
              <w:t>2.</w:t>
            </w:r>
          </w:p>
        </w:tc>
        <w:tc>
          <w:tcPr>
            <w:tcW w:w="6030" w:type="dxa"/>
          </w:tcPr>
          <w:p w14:paraId="3F7E124E" w14:textId="3DE7861E" w:rsidR="00691E8E" w:rsidRDefault="004C17E8" w:rsidP="00512BFF">
            <w:pPr>
              <w:spacing w:before="30" w:after="30"/>
              <w:rPr>
                <w:rFonts w:ascii="Arial" w:eastAsia="Arial" w:hAnsi="Arial" w:cs="Arial"/>
                <w:sz w:val="20"/>
                <w:szCs w:val="20"/>
              </w:rPr>
            </w:pPr>
            <w:r w:rsidRPr="004C17E8">
              <w:rPr>
                <w:rFonts w:ascii="Arial" w:eastAsia="Arial" w:hAnsi="Arial" w:cs="Arial"/>
                <w:sz w:val="20"/>
                <w:szCs w:val="20"/>
              </w:rPr>
              <w:t>Do you consider these proposals to be workable and, if not, why?</w:t>
            </w:r>
          </w:p>
        </w:tc>
        <w:tc>
          <w:tcPr>
            <w:tcW w:w="6840" w:type="dxa"/>
          </w:tcPr>
          <w:p w14:paraId="6291075C" w14:textId="54C3BB97" w:rsidR="00691E8E" w:rsidRDefault="00BD78AE" w:rsidP="00512BFF">
            <w:pPr>
              <w:spacing w:before="30" w:after="30"/>
              <w:rPr>
                <w:rFonts w:ascii="Arial" w:eastAsia="Arial" w:hAnsi="Arial" w:cs="Arial"/>
                <w:sz w:val="20"/>
                <w:szCs w:val="20"/>
              </w:rPr>
            </w:pPr>
            <w:r>
              <w:rPr>
                <w:rFonts w:ascii="Arial" w:eastAsia="Arial" w:hAnsi="Arial" w:cs="Arial"/>
                <w:sz w:val="20"/>
                <w:szCs w:val="20"/>
              </w:rPr>
              <w:t>Yes.</w:t>
            </w:r>
          </w:p>
        </w:tc>
      </w:tr>
      <w:tr w:rsidR="00691E8E" w14:paraId="15B2731D" w14:textId="77777777" w:rsidTr="004C17E8">
        <w:trPr>
          <w:cantSplit/>
          <w:trHeight w:val="134"/>
        </w:trPr>
        <w:tc>
          <w:tcPr>
            <w:tcW w:w="625" w:type="dxa"/>
          </w:tcPr>
          <w:p w14:paraId="4C50D172" w14:textId="1F5F5430" w:rsidR="00691E8E" w:rsidRDefault="00691E8E" w:rsidP="00512BFF">
            <w:pPr>
              <w:spacing w:before="30" w:after="30"/>
              <w:jc w:val="center"/>
              <w:rPr>
                <w:rFonts w:ascii="Arial" w:eastAsia="Arial" w:hAnsi="Arial" w:cs="Arial"/>
                <w:sz w:val="20"/>
                <w:szCs w:val="20"/>
              </w:rPr>
            </w:pPr>
            <w:r>
              <w:rPr>
                <w:rFonts w:ascii="Arial" w:eastAsia="Arial" w:hAnsi="Arial" w:cs="Arial"/>
                <w:sz w:val="20"/>
                <w:szCs w:val="20"/>
              </w:rPr>
              <w:t>3.</w:t>
            </w:r>
          </w:p>
        </w:tc>
        <w:tc>
          <w:tcPr>
            <w:tcW w:w="6030" w:type="dxa"/>
          </w:tcPr>
          <w:p w14:paraId="537FD6A2" w14:textId="7E8067FD" w:rsidR="00691E8E" w:rsidRDefault="004C17E8" w:rsidP="00512BFF">
            <w:pPr>
              <w:spacing w:before="30" w:after="30"/>
              <w:rPr>
                <w:rFonts w:ascii="Arial" w:eastAsia="Arial" w:hAnsi="Arial" w:cs="Arial"/>
                <w:sz w:val="20"/>
                <w:szCs w:val="20"/>
              </w:rPr>
            </w:pPr>
            <w:r w:rsidRPr="004C17E8">
              <w:rPr>
                <w:rFonts w:ascii="Arial" w:eastAsia="Arial" w:hAnsi="Arial" w:cs="Arial"/>
                <w:sz w:val="20"/>
                <w:szCs w:val="20"/>
              </w:rPr>
              <w:t>Do you consider these proposals to be sufficient and, if not, why?</w:t>
            </w:r>
          </w:p>
        </w:tc>
        <w:tc>
          <w:tcPr>
            <w:tcW w:w="6840" w:type="dxa"/>
          </w:tcPr>
          <w:p w14:paraId="1E40CAD9" w14:textId="4ECD0287" w:rsidR="00691E8E" w:rsidRDefault="00464DD3" w:rsidP="00512BFF">
            <w:pPr>
              <w:spacing w:before="30" w:after="30"/>
              <w:rPr>
                <w:rFonts w:ascii="Arial" w:eastAsia="Arial" w:hAnsi="Arial" w:cs="Arial"/>
                <w:sz w:val="20"/>
                <w:szCs w:val="20"/>
              </w:rPr>
            </w:pPr>
            <w:r w:rsidRPr="00FB75CB">
              <w:rPr>
                <w:rFonts w:ascii="Arial" w:eastAsia="Arial" w:hAnsi="Arial" w:cs="Arial"/>
                <w:sz w:val="20"/>
                <w:szCs w:val="20"/>
              </w:rPr>
              <w:t>No additional comments</w:t>
            </w:r>
            <w:r w:rsidRPr="00FB75CB">
              <w:rPr>
                <w:rFonts w:ascii="Arial" w:eastAsia="Arial" w:hAnsi="Arial" w:cs="Arial"/>
                <w:i/>
                <w:iCs/>
                <w:sz w:val="20"/>
                <w:szCs w:val="20"/>
              </w:rPr>
              <w:t>.</w:t>
            </w:r>
            <w:r w:rsidRPr="00FB75CB" w:rsidDel="00464DD3">
              <w:rPr>
                <w:rFonts w:ascii="Arial" w:eastAsia="Arial" w:hAnsi="Arial" w:cs="Arial"/>
                <w:sz w:val="20"/>
                <w:szCs w:val="20"/>
              </w:rPr>
              <w:t xml:space="preserve"> </w:t>
            </w:r>
          </w:p>
          <w:p w14:paraId="109AAABE" w14:textId="77777777" w:rsidR="00613331" w:rsidRDefault="00613331" w:rsidP="00512BFF">
            <w:pPr>
              <w:spacing w:before="30" w:after="30"/>
              <w:rPr>
                <w:rFonts w:ascii="Arial" w:eastAsia="Arial" w:hAnsi="Arial" w:cs="Arial"/>
                <w:sz w:val="20"/>
                <w:szCs w:val="20"/>
              </w:rPr>
            </w:pPr>
          </w:p>
          <w:p w14:paraId="6A59E4FB" w14:textId="4C1E6756" w:rsidR="0028398E" w:rsidRPr="00BD78AE" w:rsidRDefault="0028398E" w:rsidP="00512BFF">
            <w:pPr>
              <w:spacing w:before="30" w:after="30"/>
              <w:rPr>
                <w:rFonts w:ascii="Arial" w:eastAsia="Arial" w:hAnsi="Arial" w:cs="Arial"/>
                <w:sz w:val="20"/>
                <w:szCs w:val="20"/>
              </w:rPr>
            </w:pPr>
          </w:p>
        </w:tc>
      </w:tr>
      <w:tr w:rsidR="00691E8E" w14:paraId="7D7990C1" w14:textId="77777777" w:rsidTr="004C17E8">
        <w:trPr>
          <w:cantSplit/>
          <w:trHeight w:val="134"/>
        </w:trPr>
        <w:tc>
          <w:tcPr>
            <w:tcW w:w="625" w:type="dxa"/>
          </w:tcPr>
          <w:p w14:paraId="60F50F02" w14:textId="272D7C8C" w:rsidR="00691E8E" w:rsidRDefault="00691E8E" w:rsidP="00512BFF">
            <w:pPr>
              <w:spacing w:before="30" w:after="30"/>
              <w:jc w:val="center"/>
              <w:rPr>
                <w:rFonts w:ascii="Arial" w:eastAsia="Arial" w:hAnsi="Arial" w:cs="Arial"/>
                <w:sz w:val="20"/>
                <w:szCs w:val="20"/>
              </w:rPr>
            </w:pPr>
            <w:r>
              <w:rPr>
                <w:rFonts w:ascii="Arial" w:eastAsia="Arial" w:hAnsi="Arial" w:cs="Arial"/>
                <w:sz w:val="20"/>
                <w:szCs w:val="20"/>
              </w:rPr>
              <w:t>4.</w:t>
            </w:r>
          </w:p>
        </w:tc>
        <w:tc>
          <w:tcPr>
            <w:tcW w:w="6030" w:type="dxa"/>
          </w:tcPr>
          <w:p w14:paraId="344DA482" w14:textId="034EBFAA" w:rsidR="00691E8E" w:rsidRDefault="004C17E8" w:rsidP="00512BFF">
            <w:pPr>
              <w:spacing w:before="30" w:after="30"/>
              <w:rPr>
                <w:rFonts w:ascii="Arial" w:eastAsia="Arial" w:hAnsi="Arial" w:cs="Arial"/>
                <w:sz w:val="20"/>
                <w:szCs w:val="20"/>
              </w:rPr>
            </w:pPr>
            <w:r w:rsidRPr="004C17E8">
              <w:rPr>
                <w:rFonts w:ascii="Arial" w:eastAsia="Arial" w:hAnsi="Arial" w:cs="Arial"/>
                <w:sz w:val="20"/>
                <w:szCs w:val="20"/>
              </w:rPr>
              <w:t>Are you aware of, or would you recommend, a benchmark that Gold Standard</w:t>
            </w:r>
            <w:r>
              <w:rPr>
                <w:rFonts w:ascii="Arial" w:eastAsia="Arial" w:hAnsi="Arial" w:cs="Arial"/>
                <w:sz w:val="20"/>
                <w:szCs w:val="20"/>
              </w:rPr>
              <w:t xml:space="preserve"> </w:t>
            </w:r>
            <w:r w:rsidRPr="004C17E8">
              <w:rPr>
                <w:rFonts w:ascii="Arial" w:eastAsia="Arial" w:hAnsi="Arial" w:cs="Arial"/>
                <w:sz w:val="20"/>
                <w:szCs w:val="20"/>
              </w:rPr>
              <w:t>could use to determine whether blockchain technologies have a sufficiently low</w:t>
            </w:r>
            <w:r>
              <w:rPr>
                <w:rFonts w:ascii="Arial" w:eastAsia="Arial" w:hAnsi="Arial" w:cs="Arial"/>
                <w:sz w:val="20"/>
                <w:szCs w:val="20"/>
              </w:rPr>
              <w:t xml:space="preserve"> </w:t>
            </w:r>
            <w:r w:rsidRPr="004C17E8">
              <w:rPr>
                <w:rFonts w:ascii="Arial" w:eastAsia="Arial" w:hAnsi="Arial" w:cs="Arial"/>
                <w:sz w:val="20"/>
                <w:szCs w:val="20"/>
              </w:rPr>
              <w:t>emissions footprint for consent to be granted?</w:t>
            </w:r>
          </w:p>
        </w:tc>
        <w:tc>
          <w:tcPr>
            <w:tcW w:w="6840" w:type="dxa"/>
          </w:tcPr>
          <w:p w14:paraId="5DBF6141" w14:textId="32794E35" w:rsidR="00691E8E" w:rsidRPr="00FB75CB" w:rsidRDefault="001B766C" w:rsidP="00512BFF">
            <w:pPr>
              <w:spacing w:before="30" w:after="30"/>
              <w:rPr>
                <w:rFonts w:ascii="Arial" w:hAnsi="Arial" w:cs="Arial"/>
                <w:sz w:val="20"/>
                <w:szCs w:val="20"/>
              </w:rPr>
            </w:pPr>
            <w:r w:rsidRPr="00FB75CB">
              <w:rPr>
                <w:rFonts w:ascii="Arial" w:hAnsi="Arial" w:cs="Arial"/>
                <w:sz w:val="20"/>
                <w:szCs w:val="20"/>
              </w:rPr>
              <w:t xml:space="preserve">Proof of Stake has emerged as an industry-standard and well analyzed and researched benchmark for a low-energy distributed consensus mechanism. </w:t>
            </w:r>
            <w:r w:rsidR="00FD2AD7" w:rsidRPr="00FB75CB">
              <w:rPr>
                <w:rFonts w:ascii="Arial" w:hAnsi="Arial" w:cs="Arial"/>
                <w:sz w:val="20"/>
                <w:szCs w:val="20"/>
              </w:rPr>
              <w:t xml:space="preserve">We </w:t>
            </w:r>
            <w:r w:rsidR="00886787" w:rsidRPr="00FB75CB">
              <w:rPr>
                <w:rFonts w:ascii="Arial" w:hAnsi="Arial" w:cs="Arial"/>
                <w:sz w:val="20"/>
                <w:szCs w:val="20"/>
              </w:rPr>
              <w:t>recommend this standard as opposed to</w:t>
            </w:r>
            <w:r w:rsidRPr="00FB75CB">
              <w:rPr>
                <w:rFonts w:ascii="Arial" w:hAnsi="Arial" w:cs="Arial"/>
                <w:sz w:val="20"/>
                <w:szCs w:val="20"/>
              </w:rPr>
              <w:t xml:space="preserve"> more exotic solutions</w:t>
            </w:r>
            <w:r w:rsidR="00FD2AD7" w:rsidRPr="00FB75CB">
              <w:rPr>
                <w:rFonts w:ascii="Arial" w:hAnsi="Arial" w:cs="Arial"/>
                <w:sz w:val="20"/>
                <w:szCs w:val="20"/>
              </w:rPr>
              <w:t xml:space="preserve"> </w:t>
            </w:r>
            <w:r w:rsidR="00F32299" w:rsidRPr="00FB75CB">
              <w:rPr>
                <w:rFonts w:ascii="Arial" w:hAnsi="Arial" w:cs="Arial"/>
                <w:sz w:val="20"/>
                <w:szCs w:val="20"/>
              </w:rPr>
              <w:t>for</w:t>
            </w:r>
            <w:r w:rsidR="00FD2AD7" w:rsidRPr="00FB75CB">
              <w:rPr>
                <w:rFonts w:ascii="Arial" w:hAnsi="Arial" w:cs="Arial"/>
                <w:sz w:val="20"/>
                <w:szCs w:val="20"/>
              </w:rPr>
              <w:t xml:space="preserve"> consensus</w:t>
            </w:r>
            <w:r w:rsidR="00361649" w:rsidRPr="00FB75CB">
              <w:rPr>
                <w:rFonts w:ascii="Arial" w:hAnsi="Arial" w:cs="Arial"/>
                <w:sz w:val="20"/>
                <w:szCs w:val="20"/>
              </w:rPr>
              <w:t xml:space="preserve">; </w:t>
            </w:r>
            <w:r w:rsidR="00FD2AD7" w:rsidRPr="00FB75CB">
              <w:rPr>
                <w:rFonts w:ascii="Arial" w:hAnsi="Arial" w:cs="Arial"/>
                <w:sz w:val="20"/>
                <w:szCs w:val="20"/>
              </w:rPr>
              <w:t>we believe that PoS’s energy-c</w:t>
            </w:r>
            <w:r w:rsidR="004A1909" w:rsidRPr="00FB75CB">
              <w:rPr>
                <w:rFonts w:ascii="Arial" w:hAnsi="Arial" w:cs="Arial"/>
                <w:sz w:val="20"/>
                <w:szCs w:val="20"/>
              </w:rPr>
              <w:t>o</w:t>
            </w:r>
            <w:r w:rsidR="00FD2AD7" w:rsidRPr="00FB75CB">
              <w:rPr>
                <w:rFonts w:ascii="Arial" w:hAnsi="Arial" w:cs="Arial"/>
                <w:sz w:val="20"/>
                <w:szCs w:val="20"/>
              </w:rPr>
              <w:t xml:space="preserve">st/utility ratio is extremely </w:t>
            </w:r>
            <w:r w:rsidR="005332BE" w:rsidRPr="00FB75CB">
              <w:rPr>
                <w:rFonts w:ascii="Arial" w:hAnsi="Arial" w:cs="Arial"/>
                <w:sz w:val="20"/>
                <w:szCs w:val="20"/>
              </w:rPr>
              <w:t>favorable</w:t>
            </w:r>
            <w:r w:rsidR="00FD2AD7" w:rsidRPr="00FB75CB">
              <w:rPr>
                <w:rFonts w:ascii="Arial" w:hAnsi="Arial" w:cs="Arial"/>
                <w:sz w:val="20"/>
                <w:szCs w:val="20"/>
              </w:rPr>
              <w:t>.</w:t>
            </w:r>
          </w:p>
          <w:p w14:paraId="1F5C1894" w14:textId="77777777" w:rsidR="005C0439" w:rsidRPr="00FB75CB" w:rsidRDefault="005C0439" w:rsidP="00512BFF">
            <w:pPr>
              <w:spacing w:before="30" w:after="30"/>
              <w:rPr>
                <w:sz w:val="20"/>
                <w:szCs w:val="20"/>
              </w:rPr>
            </w:pPr>
          </w:p>
          <w:p w14:paraId="21ACCE78" w14:textId="7B570533" w:rsidR="005C0439" w:rsidRPr="005E1ABF" w:rsidRDefault="005C0439" w:rsidP="00512BFF">
            <w:pPr>
              <w:spacing w:before="30" w:after="30"/>
              <w:rPr>
                <w:rFonts w:ascii="Arial" w:eastAsia="Arial" w:hAnsi="Arial" w:cs="Arial"/>
                <w:sz w:val="20"/>
                <w:szCs w:val="20"/>
              </w:rPr>
            </w:pPr>
            <w:r w:rsidRPr="00FB75CB">
              <w:rPr>
                <w:rFonts w:ascii="Arial" w:eastAsia="Arial" w:hAnsi="Arial" w:cs="Arial"/>
                <w:sz w:val="20"/>
                <w:szCs w:val="20"/>
              </w:rPr>
              <w:t>We recommend that GS consider adopting blockchain agnostic stance and build its infrastructure on an Ethereum Virtual Machine compatible chain – thereby providing GS flexibility to migrate to another chain as and when needed. DLT is a fast</w:t>
            </w:r>
            <w:r w:rsidR="00FB75CB">
              <w:rPr>
                <w:rFonts w:ascii="Arial" w:eastAsia="Arial" w:hAnsi="Arial" w:cs="Arial"/>
                <w:sz w:val="20"/>
                <w:szCs w:val="20"/>
              </w:rPr>
              <w:t>-</w:t>
            </w:r>
            <w:r w:rsidRPr="00FB75CB">
              <w:rPr>
                <w:rFonts w:ascii="Arial" w:eastAsia="Arial" w:hAnsi="Arial" w:cs="Arial"/>
                <w:sz w:val="20"/>
                <w:szCs w:val="20"/>
              </w:rPr>
              <w:t xml:space="preserve">moving space, taking an agnostic stance to its host blockchain will provide GS the ability to migrate to other chains which may offer greater speed, </w:t>
            </w:r>
            <w:r w:rsidR="00903120" w:rsidRPr="00FB75CB">
              <w:rPr>
                <w:rFonts w:ascii="Arial" w:eastAsia="Arial" w:hAnsi="Arial" w:cs="Arial"/>
                <w:sz w:val="20"/>
                <w:szCs w:val="20"/>
              </w:rPr>
              <w:t>security,</w:t>
            </w:r>
            <w:r w:rsidRPr="00FB75CB">
              <w:rPr>
                <w:rFonts w:ascii="Arial" w:eastAsia="Arial" w:hAnsi="Arial" w:cs="Arial"/>
                <w:sz w:val="20"/>
                <w:szCs w:val="20"/>
              </w:rPr>
              <w:t xml:space="preserve"> or environmental benefits.</w:t>
            </w:r>
          </w:p>
        </w:tc>
      </w:tr>
      <w:tr w:rsidR="00691E8E" w14:paraId="2C79866A" w14:textId="77777777" w:rsidTr="00691E8E">
        <w:trPr>
          <w:cantSplit/>
        </w:trPr>
        <w:tc>
          <w:tcPr>
            <w:tcW w:w="13495" w:type="dxa"/>
            <w:gridSpan w:val="3"/>
            <w:shd w:val="clear" w:color="auto" w:fill="E2EFD9" w:themeFill="accent6" w:themeFillTint="33"/>
          </w:tcPr>
          <w:p w14:paraId="64FF2D4B" w14:textId="4904A085" w:rsidR="00691E8E" w:rsidRPr="00691E8E" w:rsidRDefault="00691E8E" w:rsidP="00512BFF">
            <w:pPr>
              <w:spacing w:before="30" w:after="30"/>
              <w:rPr>
                <w:rFonts w:ascii="Arial" w:eastAsia="Arial" w:hAnsi="Arial" w:cs="Arial"/>
                <w:b/>
                <w:bCs/>
                <w:sz w:val="20"/>
                <w:szCs w:val="20"/>
              </w:rPr>
            </w:pPr>
            <w:r>
              <w:rPr>
                <w:rFonts w:ascii="Arial" w:eastAsia="Arial" w:hAnsi="Arial" w:cs="Arial"/>
                <w:b/>
                <w:bCs/>
                <w:sz w:val="20"/>
                <w:szCs w:val="20"/>
              </w:rPr>
              <w:t>2.6 Data Security</w:t>
            </w:r>
          </w:p>
        </w:tc>
      </w:tr>
      <w:tr w:rsidR="00691E8E" w14:paraId="5E528BC6" w14:textId="77777777" w:rsidTr="004C17E8">
        <w:trPr>
          <w:cantSplit/>
          <w:trHeight w:val="134"/>
        </w:trPr>
        <w:tc>
          <w:tcPr>
            <w:tcW w:w="625" w:type="dxa"/>
          </w:tcPr>
          <w:p w14:paraId="36E441BD" w14:textId="242618F6" w:rsidR="00691E8E" w:rsidRDefault="00691E8E" w:rsidP="00512BFF">
            <w:pPr>
              <w:spacing w:before="30" w:after="30"/>
              <w:jc w:val="center"/>
              <w:rPr>
                <w:rFonts w:ascii="Arial" w:eastAsia="Arial" w:hAnsi="Arial" w:cs="Arial"/>
                <w:sz w:val="20"/>
                <w:szCs w:val="20"/>
              </w:rPr>
            </w:pPr>
            <w:r>
              <w:rPr>
                <w:rFonts w:ascii="Arial" w:eastAsia="Arial" w:hAnsi="Arial" w:cs="Arial"/>
                <w:sz w:val="20"/>
                <w:szCs w:val="20"/>
              </w:rPr>
              <w:t>1.</w:t>
            </w:r>
          </w:p>
        </w:tc>
        <w:tc>
          <w:tcPr>
            <w:tcW w:w="6030" w:type="dxa"/>
          </w:tcPr>
          <w:p w14:paraId="6DBAC47A" w14:textId="37E638CE" w:rsidR="00691E8E" w:rsidRDefault="004C17E8" w:rsidP="00512BFF">
            <w:pPr>
              <w:spacing w:before="30" w:after="30"/>
              <w:rPr>
                <w:rFonts w:ascii="Arial" w:eastAsia="Arial" w:hAnsi="Arial" w:cs="Arial"/>
                <w:sz w:val="20"/>
                <w:szCs w:val="20"/>
              </w:rPr>
            </w:pPr>
            <w:r w:rsidRPr="004C17E8">
              <w:rPr>
                <w:rFonts w:ascii="Arial" w:eastAsia="Arial" w:hAnsi="Arial" w:cs="Arial"/>
                <w:sz w:val="20"/>
                <w:szCs w:val="20"/>
              </w:rPr>
              <w:t>Do you agree that Gold Standard should either introduce conditions or require</w:t>
            </w:r>
            <w:r>
              <w:rPr>
                <w:rFonts w:ascii="Arial" w:eastAsia="Arial" w:hAnsi="Arial" w:cs="Arial"/>
                <w:sz w:val="20"/>
                <w:szCs w:val="20"/>
              </w:rPr>
              <w:t xml:space="preserve"> </w:t>
            </w:r>
            <w:r w:rsidRPr="004C17E8">
              <w:rPr>
                <w:rFonts w:ascii="Arial" w:eastAsia="Arial" w:hAnsi="Arial" w:cs="Arial"/>
                <w:sz w:val="20"/>
                <w:szCs w:val="20"/>
              </w:rPr>
              <w:t>information related to the IT security measures that an organisation is taking to</w:t>
            </w:r>
            <w:r>
              <w:rPr>
                <w:rFonts w:ascii="Arial" w:eastAsia="Arial" w:hAnsi="Arial" w:cs="Arial"/>
                <w:sz w:val="20"/>
                <w:szCs w:val="20"/>
              </w:rPr>
              <w:t xml:space="preserve"> </w:t>
            </w:r>
            <w:r w:rsidRPr="004C17E8">
              <w:rPr>
                <w:rFonts w:ascii="Arial" w:eastAsia="Arial" w:hAnsi="Arial" w:cs="Arial"/>
                <w:sz w:val="20"/>
                <w:szCs w:val="20"/>
              </w:rPr>
              <w:t>protect data against breaches?</w:t>
            </w:r>
          </w:p>
        </w:tc>
        <w:tc>
          <w:tcPr>
            <w:tcW w:w="6840" w:type="dxa"/>
          </w:tcPr>
          <w:p w14:paraId="31106DD7" w14:textId="064B3163" w:rsidR="00691E8E" w:rsidRDefault="00B4787F" w:rsidP="00512BFF">
            <w:pPr>
              <w:spacing w:before="30" w:after="30"/>
              <w:rPr>
                <w:rFonts w:ascii="Arial" w:eastAsia="Arial" w:hAnsi="Arial" w:cs="Arial"/>
                <w:sz w:val="20"/>
                <w:szCs w:val="20"/>
              </w:rPr>
            </w:pPr>
            <w:r>
              <w:rPr>
                <w:rFonts w:ascii="Arial" w:eastAsia="Arial" w:hAnsi="Arial" w:cs="Arial"/>
                <w:sz w:val="20"/>
                <w:szCs w:val="20"/>
              </w:rPr>
              <w:t xml:space="preserve">We are of the view that GS should engage with partners to understand their Information Security posture, and that this engagement should take the form of discussion and review of architecture, </w:t>
            </w:r>
            <w:r w:rsidR="00903120">
              <w:rPr>
                <w:rFonts w:ascii="Arial" w:eastAsia="Arial" w:hAnsi="Arial" w:cs="Arial"/>
                <w:sz w:val="20"/>
                <w:szCs w:val="20"/>
              </w:rPr>
              <w:t>standards,</w:t>
            </w:r>
            <w:r>
              <w:rPr>
                <w:rFonts w:ascii="Arial" w:eastAsia="Arial" w:hAnsi="Arial" w:cs="Arial"/>
                <w:sz w:val="20"/>
                <w:szCs w:val="20"/>
              </w:rPr>
              <w:t xml:space="preserve"> and practices as well as confidential sharing of partners’ internal policy and procedure documents.</w:t>
            </w:r>
          </w:p>
        </w:tc>
      </w:tr>
      <w:tr w:rsidR="00691E8E" w14:paraId="5AFFE13F" w14:textId="77777777" w:rsidTr="004C17E8">
        <w:trPr>
          <w:cantSplit/>
          <w:trHeight w:val="134"/>
        </w:trPr>
        <w:tc>
          <w:tcPr>
            <w:tcW w:w="625" w:type="dxa"/>
          </w:tcPr>
          <w:p w14:paraId="267B42C5" w14:textId="64985727" w:rsidR="00691E8E" w:rsidRDefault="00691E8E" w:rsidP="00512BFF">
            <w:pPr>
              <w:spacing w:before="30" w:after="30"/>
              <w:jc w:val="center"/>
              <w:rPr>
                <w:rFonts w:ascii="Arial" w:eastAsia="Arial" w:hAnsi="Arial" w:cs="Arial"/>
                <w:sz w:val="20"/>
                <w:szCs w:val="20"/>
              </w:rPr>
            </w:pPr>
            <w:r>
              <w:rPr>
                <w:rFonts w:ascii="Arial" w:eastAsia="Arial" w:hAnsi="Arial" w:cs="Arial"/>
                <w:sz w:val="20"/>
                <w:szCs w:val="20"/>
              </w:rPr>
              <w:lastRenderedPageBreak/>
              <w:t>2.</w:t>
            </w:r>
          </w:p>
        </w:tc>
        <w:tc>
          <w:tcPr>
            <w:tcW w:w="6030" w:type="dxa"/>
          </w:tcPr>
          <w:p w14:paraId="61BD35F6" w14:textId="6A0D3A14" w:rsidR="00691E8E" w:rsidRDefault="004C17E8" w:rsidP="00512BFF">
            <w:pPr>
              <w:spacing w:before="30" w:after="30"/>
              <w:rPr>
                <w:rFonts w:ascii="Arial" w:eastAsia="Arial" w:hAnsi="Arial" w:cs="Arial"/>
                <w:sz w:val="20"/>
                <w:szCs w:val="20"/>
              </w:rPr>
            </w:pPr>
            <w:r w:rsidRPr="004C17E8">
              <w:rPr>
                <w:rFonts w:ascii="Arial" w:eastAsia="Arial" w:hAnsi="Arial" w:cs="Arial"/>
                <w:sz w:val="20"/>
                <w:szCs w:val="20"/>
              </w:rPr>
              <w:t>If so, do you have views or recommendations on what Gold Standard should</w:t>
            </w:r>
            <w:r>
              <w:rPr>
                <w:rFonts w:ascii="Arial" w:eastAsia="Arial" w:hAnsi="Arial" w:cs="Arial"/>
                <w:sz w:val="20"/>
                <w:szCs w:val="20"/>
              </w:rPr>
              <w:t xml:space="preserve"> </w:t>
            </w:r>
            <w:r w:rsidRPr="004C17E8">
              <w:rPr>
                <w:rFonts w:ascii="Arial" w:eastAsia="Arial" w:hAnsi="Arial" w:cs="Arial"/>
                <w:sz w:val="20"/>
                <w:szCs w:val="20"/>
              </w:rPr>
              <w:t>require?</w:t>
            </w:r>
          </w:p>
        </w:tc>
        <w:tc>
          <w:tcPr>
            <w:tcW w:w="6840" w:type="dxa"/>
          </w:tcPr>
          <w:p w14:paraId="32CC19A0" w14:textId="0C7CE8D0" w:rsidR="00691E8E" w:rsidRDefault="003212BC" w:rsidP="00512BFF">
            <w:pPr>
              <w:spacing w:before="30" w:after="30"/>
              <w:rPr>
                <w:rFonts w:ascii="Arial" w:eastAsia="Arial" w:hAnsi="Arial" w:cs="Arial"/>
                <w:sz w:val="20"/>
                <w:szCs w:val="20"/>
              </w:rPr>
            </w:pPr>
            <w:r>
              <w:rPr>
                <w:rFonts w:ascii="Arial" w:eastAsia="Arial" w:hAnsi="Arial" w:cs="Arial"/>
                <w:sz w:val="20"/>
                <w:szCs w:val="20"/>
              </w:rPr>
              <w:t xml:space="preserve">Information Security is a complex and wide-ranging </w:t>
            </w:r>
            <w:r w:rsidR="00903120">
              <w:rPr>
                <w:rFonts w:ascii="Arial" w:eastAsia="Arial" w:hAnsi="Arial" w:cs="Arial"/>
                <w:sz w:val="20"/>
                <w:szCs w:val="20"/>
              </w:rPr>
              <w:t>topic,</w:t>
            </w:r>
            <w:r>
              <w:rPr>
                <w:rFonts w:ascii="Arial" w:eastAsia="Arial" w:hAnsi="Arial" w:cs="Arial"/>
                <w:sz w:val="20"/>
                <w:szCs w:val="20"/>
              </w:rPr>
              <w:t xml:space="preserve"> and we believe that GS should assess and consider partners’ security readiness in the round</w:t>
            </w:r>
            <w:r w:rsidR="00AB25AC">
              <w:rPr>
                <w:rFonts w:ascii="Arial" w:eastAsia="Arial" w:hAnsi="Arial" w:cs="Arial"/>
                <w:sz w:val="20"/>
                <w:szCs w:val="20"/>
              </w:rPr>
              <w:t>, holistically and on the basis of iterated discussion and review processes.</w:t>
            </w:r>
            <w:r>
              <w:rPr>
                <w:rFonts w:ascii="Arial" w:eastAsia="Arial" w:hAnsi="Arial" w:cs="Arial"/>
                <w:sz w:val="20"/>
                <w:szCs w:val="20"/>
              </w:rPr>
              <w:t xml:space="preserve"> We do not believe that a single security standard (or standards) is/are a the most suitable metric for determining risk.</w:t>
            </w:r>
          </w:p>
        </w:tc>
      </w:tr>
      <w:tr w:rsidR="00691E8E" w14:paraId="24503FDE" w14:textId="77777777" w:rsidTr="004C17E8">
        <w:trPr>
          <w:cantSplit/>
          <w:trHeight w:val="134"/>
        </w:trPr>
        <w:tc>
          <w:tcPr>
            <w:tcW w:w="625" w:type="dxa"/>
          </w:tcPr>
          <w:p w14:paraId="79A63A6A" w14:textId="43545F71" w:rsidR="00691E8E" w:rsidRDefault="00691E8E" w:rsidP="00512BFF">
            <w:pPr>
              <w:spacing w:before="30" w:after="30"/>
              <w:jc w:val="center"/>
              <w:rPr>
                <w:rFonts w:ascii="Arial" w:eastAsia="Arial" w:hAnsi="Arial" w:cs="Arial"/>
                <w:sz w:val="20"/>
                <w:szCs w:val="20"/>
              </w:rPr>
            </w:pPr>
            <w:r>
              <w:rPr>
                <w:rFonts w:ascii="Arial" w:eastAsia="Arial" w:hAnsi="Arial" w:cs="Arial"/>
                <w:sz w:val="20"/>
                <w:szCs w:val="20"/>
              </w:rPr>
              <w:t>3.</w:t>
            </w:r>
          </w:p>
        </w:tc>
        <w:tc>
          <w:tcPr>
            <w:tcW w:w="6030" w:type="dxa"/>
          </w:tcPr>
          <w:p w14:paraId="791BFA2D" w14:textId="7B0C662B" w:rsidR="00691E8E" w:rsidRDefault="004C17E8" w:rsidP="00512BFF">
            <w:pPr>
              <w:spacing w:before="30" w:after="30"/>
              <w:rPr>
                <w:rFonts w:ascii="Arial" w:eastAsia="Arial" w:hAnsi="Arial" w:cs="Arial"/>
                <w:sz w:val="20"/>
                <w:szCs w:val="20"/>
              </w:rPr>
            </w:pPr>
            <w:r w:rsidRPr="004C17E8">
              <w:rPr>
                <w:rFonts w:ascii="Arial" w:eastAsia="Arial" w:hAnsi="Arial" w:cs="Arial"/>
                <w:sz w:val="20"/>
                <w:szCs w:val="20"/>
              </w:rPr>
              <w:t>What are the primary risks that you believe Gold Standard should consider when</w:t>
            </w:r>
            <w:r>
              <w:rPr>
                <w:rFonts w:ascii="Arial" w:eastAsia="Arial" w:hAnsi="Arial" w:cs="Arial"/>
                <w:sz w:val="20"/>
                <w:szCs w:val="20"/>
              </w:rPr>
              <w:t xml:space="preserve"> </w:t>
            </w:r>
            <w:r w:rsidRPr="004C17E8">
              <w:rPr>
                <w:rFonts w:ascii="Arial" w:eastAsia="Arial" w:hAnsi="Arial" w:cs="Arial"/>
                <w:sz w:val="20"/>
                <w:szCs w:val="20"/>
              </w:rPr>
              <w:t>writing its requirements on this topic?</w:t>
            </w:r>
          </w:p>
        </w:tc>
        <w:tc>
          <w:tcPr>
            <w:tcW w:w="6840" w:type="dxa"/>
          </w:tcPr>
          <w:p w14:paraId="41599259" w14:textId="157C48B9" w:rsidR="00691E8E" w:rsidRDefault="0010541D" w:rsidP="00512BFF">
            <w:pPr>
              <w:spacing w:before="30" w:after="30"/>
              <w:rPr>
                <w:rFonts w:ascii="Arial" w:eastAsia="Arial" w:hAnsi="Arial" w:cs="Arial"/>
                <w:sz w:val="20"/>
                <w:szCs w:val="20"/>
              </w:rPr>
            </w:pPr>
            <w:r>
              <w:rPr>
                <w:rFonts w:ascii="Arial" w:eastAsia="Arial" w:hAnsi="Arial" w:cs="Arial"/>
                <w:sz w:val="20"/>
                <w:szCs w:val="20"/>
              </w:rPr>
              <w:t>In our view, a primary requirement – as a leading indicator of competence and suitability – should be sight of, and detailed verbal review of, partners’ internal InfoSec policies. We believe that collaborative review and discussion of these policies is the mechanism most likely to promote high quality partner engagement and minimize overall risk.</w:t>
            </w:r>
          </w:p>
        </w:tc>
      </w:tr>
      <w:tr w:rsidR="00691E8E" w14:paraId="011FE8AD" w14:textId="77777777" w:rsidTr="004C17E8">
        <w:trPr>
          <w:cantSplit/>
          <w:trHeight w:val="134"/>
        </w:trPr>
        <w:tc>
          <w:tcPr>
            <w:tcW w:w="625" w:type="dxa"/>
          </w:tcPr>
          <w:p w14:paraId="007B70AB" w14:textId="16DE3796" w:rsidR="00691E8E" w:rsidRDefault="00691E8E" w:rsidP="00512BFF">
            <w:pPr>
              <w:spacing w:before="30" w:after="30"/>
              <w:jc w:val="center"/>
              <w:rPr>
                <w:rFonts w:ascii="Arial" w:eastAsia="Arial" w:hAnsi="Arial" w:cs="Arial"/>
                <w:sz w:val="20"/>
                <w:szCs w:val="20"/>
              </w:rPr>
            </w:pPr>
            <w:r>
              <w:rPr>
                <w:rFonts w:ascii="Arial" w:eastAsia="Arial" w:hAnsi="Arial" w:cs="Arial"/>
                <w:sz w:val="20"/>
                <w:szCs w:val="20"/>
              </w:rPr>
              <w:t>4.</w:t>
            </w:r>
          </w:p>
        </w:tc>
        <w:tc>
          <w:tcPr>
            <w:tcW w:w="6030" w:type="dxa"/>
          </w:tcPr>
          <w:p w14:paraId="1A9DFCA2" w14:textId="4A9D4391" w:rsidR="00691E8E" w:rsidRDefault="004C17E8" w:rsidP="00512BFF">
            <w:pPr>
              <w:spacing w:before="30" w:after="30"/>
              <w:rPr>
                <w:rFonts w:ascii="Arial" w:eastAsia="Arial" w:hAnsi="Arial" w:cs="Arial"/>
                <w:sz w:val="20"/>
                <w:szCs w:val="20"/>
              </w:rPr>
            </w:pPr>
            <w:r w:rsidRPr="004C17E8">
              <w:rPr>
                <w:rFonts w:ascii="Arial" w:eastAsia="Arial" w:hAnsi="Arial" w:cs="Arial"/>
                <w:sz w:val="20"/>
                <w:szCs w:val="20"/>
              </w:rPr>
              <w:t>Are there benchmarks, good practice codes or similar reference points for IT</w:t>
            </w:r>
            <w:r>
              <w:rPr>
                <w:rFonts w:ascii="Arial" w:eastAsia="Arial" w:hAnsi="Arial" w:cs="Arial"/>
                <w:sz w:val="20"/>
                <w:szCs w:val="20"/>
              </w:rPr>
              <w:t xml:space="preserve"> </w:t>
            </w:r>
            <w:r w:rsidRPr="004C17E8">
              <w:rPr>
                <w:rFonts w:ascii="Arial" w:eastAsia="Arial" w:hAnsi="Arial" w:cs="Arial"/>
                <w:sz w:val="20"/>
                <w:szCs w:val="20"/>
              </w:rPr>
              <w:t>security requirements that you would recommend Gold Standard following or</w:t>
            </w:r>
            <w:r>
              <w:rPr>
                <w:rFonts w:ascii="Arial" w:eastAsia="Arial" w:hAnsi="Arial" w:cs="Arial"/>
                <w:sz w:val="20"/>
                <w:szCs w:val="20"/>
              </w:rPr>
              <w:t xml:space="preserve"> </w:t>
            </w:r>
            <w:r w:rsidRPr="004C17E8">
              <w:rPr>
                <w:rFonts w:ascii="Arial" w:eastAsia="Arial" w:hAnsi="Arial" w:cs="Arial"/>
                <w:sz w:val="20"/>
                <w:szCs w:val="20"/>
              </w:rPr>
              <w:t>taking into account?</w:t>
            </w:r>
          </w:p>
        </w:tc>
        <w:tc>
          <w:tcPr>
            <w:tcW w:w="6840" w:type="dxa"/>
          </w:tcPr>
          <w:p w14:paraId="45D420BC" w14:textId="7CD9159E" w:rsidR="00691E8E" w:rsidRDefault="006466A1" w:rsidP="00512BFF">
            <w:pPr>
              <w:spacing w:before="30" w:after="30"/>
              <w:rPr>
                <w:rFonts w:ascii="Arial" w:eastAsia="Arial" w:hAnsi="Arial" w:cs="Arial"/>
                <w:sz w:val="20"/>
                <w:szCs w:val="20"/>
              </w:rPr>
            </w:pPr>
            <w:r>
              <w:rPr>
                <w:rFonts w:ascii="Arial" w:eastAsia="Arial" w:hAnsi="Arial" w:cs="Arial"/>
                <w:sz w:val="20"/>
                <w:szCs w:val="20"/>
              </w:rPr>
              <w:t xml:space="preserve">As mentioned, the topic is wide-ranging, but some indicators that </w:t>
            </w:r>
            <w:r w:rsidR="00167909">
              <w:rPr>
                <w:rFonts w:ascii="Arial" w:eastAsia="Arial" w:hAnsi="Arial" w:cs="Arial"/>
                <w:sz w:val="20"/>
                <w:szCs w:val="20"/>
              </w:rPr>
              <w:t>we believe</w:t>
            </w:r>
            <w:r>
              <w:rPr>
                <w:rFonts w:ascii="Arial" w:eastAsia="Arial" w:hAnsi="Arial" w:cs="Arial"/>
                <w:sz w:val="20"/>
                <w:szCs w:val="20"/>
              </w:rPr>
              <w:t xml:space="preserve"> are strongly indicative of a </w:t>
            </w:r>
            <w:r w:rsidR="005058DD">
              <w:rPr>
                <w:rFonts w:ascii="Arial" w:eastAsia="Arial" w:hAnsi="Arial" w:cs="Arial"/>
                <w:sz w:val="20"/>
                <w:szCs w:val="20"/>
              </w:rPr>
              <w:t>sound</w:t>
            </w:r>
            <w:r>
              <w:rPr>
                <w:rFonts w:ascii="Arial" w:eastAsia="Arial" w:hAnsi="Arial" w:cs="Arial"/>
                <w:sz w:val="20"/>
                <w:szCs w:val="20"/>
              </w:rPr>
              <w:t xml:space="preserve"> security posture include: use of encryption at all stages of data transmission and storage (i.e. at rest and in transit),</w:t>
            </w:r>
            <w:r w:rsidR="00F95431">
              <w:rPr>
                <w:rFonts w:ascii="Arial" w:eastAsia="Arial" w:hAnsi="Arial" w:cs="Arial"/>
                <w:sz w:val="20"/>
                <w:szCs w:val="20"/>
              </w:rPr>
              <w:t xml:space="preserve"> current</w:t>
            </w:r>
            <w:r>
              <w:rPr>
                <w:rFonts w:ascii="Arial" w:eastAsia="Arial" w:hAnsi="Arial" w:cs="Arial"/>
                <w:sz w:val="20"/>
                <w:szCs w:val="20"/>
              </w:rPr>
              <w:t xml:space="preserve"> </w:t>
            </w:r>
            <w:r w:rsidR="00F95431">
              <w:rPr>
                <w:rFonts w:ascii="Arial" w:eastAsia="Arial" w:hAnsi="Arial" w:cs="Arial"/>
                <w:sz w:val="20"/>
                <w:szCs w:val="20"/>
              </w:rPr>
              <w:t xml:space="preserve">and </w:t>
            </w:r>
            <w:r w:rsidR="002511E5">
              <w:rPr>
                <w:rFonts w:ascii="Arial" w:eastAsia="Arial" w:hAnsi="Arial" w:cs="Arial"/>
                <w:sz w:val="20"/>
                <w:szCs w:val="20"/>
              </w:rPr>
              <w:t xml:space="preserve">actively </w:t>
            </w:r>
            <w:r w:rsidR="00F95431">
              <w:rPr>
                <w:rFonts w:ascii="Arial" w:eastAsia="Arial" w:hAnsi="Arial" w:cs="Arial"/>
                <w:sz w:val="20"/>
                <w:szCs w:val="20"/>
              </w:rPr>
              <w:t xml:space="preserve">enforced encryption protocols &amp; standards </w:t>
            </w:r>
            <w:r>
              <w:rPr>
                <w:rFonts w:ascii="Arial" w:eastAsia="Arial" w:hAnsi="Arial" w:cs="Arial"/>
                <w:sz w:val="20"/>
                <w:szCs w:val="20"/>
              </w:rPr>
              <w:t xml:space="preserve">(e.g. HSTS, TLS 1.2, AES 256 and above), </w:t>
            </w:r>
            <w:r w:rsidR="00F95431">
              <w:rPr>
                <w:rFonts w:ascii="Arial" w:eastAsia="Arial" w:hAnsi="Arial" w:cs="Arial"/>
                <w:sz w:val="20"/>
                <w:szCs w:val="20"/>
              </w:rPr>
              <w:t xml:space="preserve">use of multi-factor authentication (MFA / 2FA) on all systems (end-user and internal) utilizing current and robust MFA channels (i.e. avoiding use of SMS), use of current password policy best practices (e.g. NIST 2022 800-63B: do not mandate password changes or algorithmic complexity requirements), systematic and measurable automated test coverage and associated TDD, understanding of and robust application of the </w:t>
            </w:r>
            <w:r w:rsidR="00F95431" w:rsidRPr="00F95431">
              <w:rPr>
                <w:rFonts w:ascii="Arial" w:eastAsia="Arial" w:hAnsi="Arial" w:cs="Arial"/>
                <w:sz w:val="20"/>
                <w:szCs w:val="20"/>
              </w:rPr>
              <w:t>principle of least privilege</w:t>
            </w:r>
            <w:r w:rsidR="00F95431">
              <w:rPr>
                <w:rFonts w:ascii="Arial" w:eastAsia="Arial" w:hAnsi="Arial" w:cs="Arial"/>
                <w:sz w:val="20"/>
                <w:szCs w:val="20"/>
              </w:rPr>
              <w:t xml:space="preserve">, </w:t>
            </w:r>
            <w:r w:rsidR="00854640">
              <w:rPr>
                <w:rFonts w:ascii="Arial" w:eastAsia="Arial" w:hAnsi="Arial" w:cs="Arial"/>
                <w:sz w:val="20"/>
                <w:szCs w:val="20"/>
              </w:rPr>
              <w:t>and</w:t>
            </w:r>
            <w:r w:rsidR="00A55442">
              <w:rPr>
                <w:rFonts w:ascii="Arial" w:eastAsia="Arial" w:hAnsi="Arial" w:cs="Arial"/>
                <w:sz w:val="20"/>
                <w:szCs w:val="20"/>
              </w:rPr>
              <w:t xml:space="preserve"> </w:t>
            </w:r>
            <w:r w:rsidR="00F95431">
              <w:rPr>
                <w:rFonts w:ascii="Arial" w:eastAsia="Arial" w:hAnsi="Arial" w:cs="Arial"/>
                <w:sz w:val="20"/>
                <w:szCs w:val="20"/>
              </w:rPr>
              <w:t>identification and special handling of customer-sensitive data</w:t>
            </w:r>
            <w:r w:rsidR="000D1E02">
              <w:rPr>
                <w:rFonts w:ascii="Arial" w:eastAsia="Arial" w:hAnsi="Arial" w:cs="Arial"/>
                <w:sz w:val="20"/>
                <w:szCs w:val="20"/>
              </w:rPr>
              <w:t>.</w:t>
            </w:r>
          </w:p>
          <w:p w14:paraId="3519C7CF" w14:textId="77777777" w:rsidR="000D1E02" w:rsidRDefault="000D1E02" w:rsidP="00512BFF">
            <w:pPr>
              <w:spacing w:before="30" w:after="30"/>
              <w:rPr>
                <w:rFonts w:ascii="Arial" w:eastAsia="Arial" w:hAnsi="Arial" w:cs="Arial"/>
                <w:sz w:val="20"/>
                <w:szCs w:val="20"/>
              </w:rPr>
            </w:pPr>
          </w:p>
          <w:p w14:paraId="39F18248" w14:textId="04A47393" w:rsidR="000D1E02" w:rsidRDefault="000D1E02" w:rsidP="00512BFF">
            <w:pPr>
              <w:spacing w:before="30" w:after="30"/>
              <w:rPr>
                <w:rFonts w:ascii="Arial" w:eastAsia="Arial" w:hAnsi="Arial" w:cs="Arial"/>
                <w:sz w:val="20"/>
                <w:szCs w:val="20"/>
              </w:rPr>
            </w:pPr>
            <w:r>
              <w:rPr>
                <w:rFonts w:ascii="Arial" w:eastAsia="Arial" w:hAnsi="Arial" w:cs="Arial"/>
                <w:sz w:val="20"/>
                <w:szCs w:val="20"/>
              </w:rPr>
              <w:t xml:space="preserve">We believe that customized review by qualified GS technical individuals, in conjunction and dialog with similar individuals from partners, is the most </w:t>
            </w:r>
            <w:r w:rsidR="00A778AD">
              <w:rPr>
                <w:rFonts w:ascii="Arial" w:eastAsia="Arial" w:hAnsi="Arial" w:cs="Arial"/>
                <w:sz w:val="20"/>
                <w:szCs w:val="20"/>
              </w:rPr>
              <w:t>effective</w:t>
            </w:r>
            <w:r>
              <w:rPr>
                <w:rFonts w:ascii="Arial" w:eastAsia="Arial" w:hAnsi="Arial" w:cs="Arial"/>
                <w:sz w:val="20"/>
                <w:szCs w:val="20"/>
              </w:rPr>
              <w:t xml:space="preserve"> and adaptive way </w:t>
            </w:r>
            <w:r w:rsidR="00847D62">
              <w:rPr>
                <w:rFonts w:ascii="Arial" w:eastAsia="Arial" w:hAnsi="Arial" w:cs="Arial"/>
                <w:sz w:val="20"/>
                <w:szCs w:val="20"/>
              </w:rPr>
              <w:t>for GS to assess</w:t>
            </w:r>
            <w:r>
              <w:rPr>
                <w:rFonts w:ascii="Arial" w:eastAsia="Arial" w:hAnsi="Arial" w:cs="Arial"/>
                <w:sz w:val="20"/>
                <w:szCs w:val="20"/>
              </w:rPr>
              <w:t xml:space="preserve"> partners’ </w:t>
            </w:r>
            <w:r w:rsidR="00520FB6">
              <w:rPr>
                <w:rFonts w:ascii="Arial" w:eastAsia="Arial" w:hAnsi="Arial" w:cs="Arial"/>
                <w:sz w:val="20"/>
                <w:szCs w:val="20"/>
              </w:rPr>
              <w:t xml:space="preserve">Information Security </w:t>
            </w:r>
            <w:r>
              <w:rPr>
                <w:rFonts w:ascii="Arial" w:eastAsia="Arial" w:hAnsi="Arial" w:cs="Arial"/>
                <w:sz w:val="20"/>
                <w:szCs w:val="20"/>
              </w:rPr>
              <w:t>readiness and competence to interact with GS</w:t>
            </w:r>
            <w:r w:rsidR="002A0868">
              <w:rPr>
                <w:rFonts w:ascii="Arial" w:eastAsia="Arial" w:hAnsi="Arial" w:cs="Arial"/>
                <w:sz w:val="20"/>
                <w:szCs w:val="20"/>
              </w:rPr>
              <w:t xml:space="preserve"> on tokenization and/or on API integration.</w:t>
            </w:r>
          </w:p>
        </w:tc>
      </w:tr>
      <w:tr w:rsidR="00691E8E" w14:paraId="70727B73" w14:textId="77777777" w:rsidTr="00691E8E">
        <w:trPr>
          <w:cantSplit/>
        </w:trPr>
        <w:tc>
          <w:tcPr>
            <w:tcW w:w="13495" w:type="dxa"/>
            <w:gridSpan w:val="3"/>
            <w:shd w:val="clear" w:color="auto" w:fill="E2EFD9" w:themeFill="accent6" w:themeFillTint="33"/>
          </w:tcPr>
          <w:p w14:paraId="30A2CBD5" w14:textId="7C943B54" w:rsidR="00691E8E" w:rsidRPr="00691E8E" w:rsidRDefault="00691E8E" w:rsidP="00512BFF">
            <w:pPr>
              <w:spacing w:before="30" w:after="30"/>
              <w:rPr>
                <w:rFonts w:ascii="Arial" w:eastAsia="Arial" w:hAnsi="Arial" w:cs="Arial"/>
                <w:b/>
                <w:bCs/>
                <w:sz w:val="20"/>
                <w:szCs w:val="20"/>
              </w:rPr>
            </w:pPr>
            <w:r>
              <w:rPr>
                <w:rFonts w:ascii="Arial" w:eastAsia="Arial" w:hAnsi="Arial" w:cs="Arial"/>
                <w:b/>
                <w:bCs/>
                <w:sz w:val="20"/>
                <w:szCs w:val="20"/>
              </w:rPr>
              <w:t>2.7 Permitted Units</w:t>
            </w:r>
          </w:p>
        </w:tc>
      </w:tr>
      <w:tr w:rsidR="00691E8E" w14:paraId="5E620D1D" w14:textId="77777777" w:rsidTr="004C17E8">
        <w:trPr>
          <w:cantSplit/>
          <w:trHeight w:val="134"/>
        </w:trPr>
        <w:tc>
          <w:tcPr>
            <w:tcW w:w="625" w:type="dxa"/>
          </w:tcPr>
          <w:p w14:paraId="75A3AB12" w14:textId="2823F0B1" w:rsidR="00691E8E" w:rsidRDefault="00691E8E" w:rsidP="00512BFF">
            <w:pPr>
              <w:spacing w:before="30" w:after="30"/>
              <w:jc w:val="center"/>
              <w:rPr>
                <w:rFonts w:ascii="Arial" w:eastAsia="Arial" w:hAnsi="Arial" w:cs="Arial"/>
                <w:sz w:val="20"/>
                <w:szCs w:val="20"/>
              </w:rPr>
            </w:pPr>
            <w:r>
              <w:rPr>
                <w:rFonts w:ascii="Arial" w:eastAsia="Arial" w:hAnsi="Arial" w:cs="Arial"/>
                <w:sz w:val="20"/>
                <w:szCs w:val="20"/>
              </w:rPr>
              <w:t>1.</w:t>
            </w:r>
          </w:p>
        </w:tc>
        <w:tc>
          <w:tcPr>
            <w:tcW w:w="6030" w:type="dxa"/>
          </w:tcPr>
          <w:p w14:paraId="22E6D9D6" w14:textId="1F9753BD" w:rsidR="00691E8E" w:rsidRDefault="004C17E8" w:rsidP="00512BFF">
            <w:pPr>
              <w:spacing w:before="30" w:after="30"/>
              <w:rPr>
                <w:rFonts w:ascii="Arial" w:eastAsia="Arial" w:hAnsi="Arial" w:cs="Arial"/>
                <w:sz w:val="20"/>
                <w:szCs w:val="20"/>
              </w:rPr>
            </w:pPr>
            <w:r w:rsidRPr="004C17E8">
              <w:rPr>
                <w:rFonts w:ascii="Arial" w:eastAsia="Arial" w:hAnsi="Arial" w:cs="Arial"/>
                <w:sz w:val="20"/>
                <w:szCs w:val="20"/>
              </w:rPr>
              <w:t>Do you agree with the proposal not to initially permit the tokenisation of these</w:t>
            </w:r>
            <w:r>
              <w:rPr>
                <w:rFonts w:ascii="Arial" w:eastAsia="Arial" w:hAnsi="Arial" w:cs="Arial"/>
                <w:sz w:val="20"/>
                <w:szCs w:val="20"/>
              </w:rPr>
              <w:t xml:space="preserve"> </w:t>
            </w:r>
            <w:r w:rsidRPr="004C17E8">
              <w:rPr>
                <w:rFonts w:ascii="Arial" w:eastAsia="Arial" w:hAnsi="Arial" w:cs="Arial"/>
                <w:sz w:val="20"/>
                <w:szCs w:val="20"/>
              </w:rPr>
              <w:t>categories of credit, until tailored safeguards are developed?</w:t>
            </w:r>
          </w:p>
        </w:tc>
        <w:tc>
          <w:tcPr>
            <w:tcW w:w="6840" w:type="dxa"/>
          </w:tcPr>
          <w:p w14:paraId="04106A31" w14:textId="77A88045" w:rsidR="001241D8" w:rsidRDefault="001241D8" w:rsidP="00512BFF">
            <w:pPr>
              <w:spacing w:before="30" w:after="30"/>
              <w:rPr>
                <w:rFonts w:ascii="Arial" w:eastAsia="Arial" w:hAnsi="Arial" w:cs="Arial"/>
                <w:sz w:val="20"/>
                <w:szCs w:val="20"/>
              </w:rPr>
            </w:pPr>
            <w:r>
              <w:rPr>
                <w:rFonts w:ascii="Arial" w:eastAsia="Arial" w:hAnsi="Arial" w:cs="Arial"/>
                <w:sz w:val="20"/>
                <w:szCs w:val="20"/>
              </w:rPr>
              <w:t>We believe that tokenisation of Planned Emission Reductions (PERs) should be permitted. The ability to sell PERs will provide project developers with an important mechanism to obtain early funding for their projects – allowing the sale of tokenised PERs will further support their ability to obtain such funding.</w:t>
            </w:r>
          </w:p>
          <w:p w14:paraId="3C9D30C5" w14:textId="77777777" w:rsidR="002512C7" w:rsidRDefault="002512C7" w:rsidP="00512BFF">
            <w:pPr>
              <w:spacing w:before="30" w:after="30"/>
              <w:rPr>
                <w:rFonts w:ascii="Arial" w:eastAsia="Arial" w:hAnsi="Arial" w:cs="Arial"/>
                <w:sz w:val="20"/>
                <w:szCs w:val="20"/>
              </w:rPr>
            </w:pPr>
          </w:p>
          <w:p w14:paraId="0D3FA9CE" w14:textId="3B62923E" w:rsidR="002512C7" w:rsidRDefault="002512C7" w:rsidP="00512BFF">
            <w:pPr>
              <w:spacing w:before="30" w:after="30"/>
              <w:rPr>
                <w:rFonts w:ascii="Arial" w:eastAsia="Arial" w:hAnsi="Arial" w:cs="Arial"/>
                <w:sz w:val="20"/>
                <w:szCs w:val="20"/>
              </w:rPr>
            </w:pPr>
          </w:p>
        </w:tc>
      </w:tr>
      <w:tr w:rsidR="00691E8E" w14:paraId="53FFB4F2" w14:textId="77777777" w:rsidTr="004C17E8">
        <w:trPr>
          <w:cantSplit/>
          <w:trHeight w:val="134"/>
        </w:trPr>
        <w:tc>
          <w:tcPr>
            <w:tcW w:w="625" w:type="dxa"/>
          </w:tcPr>
          <w:p w14:paraId="069502D8" w14:textId="05D581AF" w:rsidR="00691E8E" w:rsidRDefault="00691E8E" w:rsidP="00512BFF">
            <w:pPr>
              <w:spacing w:before="30" w:after="30"/>
              <w:jc w:val="center"/>
              <w:rPr>
                <w:rFonts w:ascii="Arial" w:eastAsia="Arial" w:hAnsi="Arial" w:cs="Arial"/>
                <w:sz w:val="20"/>
                <w:szCs w:val="20"/>
              </w:rPr>
            </w:pPr>
            <w:r>
              <w:rPr>
                <w:rFonts w:ascii="Arial" w:eastAsia="Arial" w:hAnsi="Arial" w:cs="Arial"/>
                <w:sz w:val="20"/>
                <w:szCs w:val="20"/>
              </w:rPr>
              <w:t>2.</w:t>
            </w:r>
          </w:p>
        </w:tc>
        <w:tc>
          <w:tcPr>
            <w:tcW w:w="6030" w:type="dxa"/>
          </w:tcPr>
          <w:p w14:paraId="1D9AD371" w14:textId="6871DF40" w:rsidR="00691E8E" w:rsidRDefault="004C17E8" w:rsidP="00512BFF">
            <w:pPr>
              <w:spacing w:before="30" w:after="30"/>
              <w:rPr>
                <w:rFonts w:ascii="Arial" w:eastAsia="Arial" w:hAnsi="Arial" w:cs="Arial"/>
                <w:sz w:val="20"/>
                <w:szCs w:val="20"/>
              </w:rPr>
            </w:pPr>
            <w:r w:rsidRPr="004C17E8">
              <w:rPr>
                <w:rFonts w:ascii="Arial" w:eastAsia="Arial" w:hAnsi="Arial" w:cs="Arial"/>
                <w:sz w:val="20"/>
                <w:szCs w:val="20"/>
              </w:rPr>
              <w:t>Do you believe there are other types of carbon credits that Gold Standard should</w:t>
            </w:r>
            <w:r>
              <w:rPr>
                <w:rFonts w:ascii="Arial" w:eastAsia="Arial" w:hAnsi="Arial" w:cs="Arial"/>
                <w:sz w:val="20"/>
                <w:szCs w:val="20"/>
              </w:rPr>
              <w:t xml:space="preserve"> </w:t>
            </w:r>
            <w:r w:rsidRPr="004C17E8">
              <w:rPr>
                <w:rFonts w:ascii="Arial" w:eastAsia="Arial" w:hAnsi="Arial" w:cs="Arial"/>
                <w:sz w:val="20"/>
                <w:szCs w:val="20"/>
              </w:rPr>
              <w:t>consider creating tailored safeguards for? If so, why?</w:t>
            </w:r>
          </w:p>
        </w:tc>
        <w:tc>
          <w:tcPr>
            <w:tcW w:w="6840" w:type="dxa"/>
          </w:tcPr>
          <w:p w14:paraId="57AE47A7" w14:textId="7D56F313" w:rsidR="00691E8E" w:rsidRPr="00464DD3" w:rsidRDefault="00464DD3" w:rsidP="00512BFF">
            <w:pPr>
              <w:spacing w:before="30" w:after="30"/>
              <w:rPr>
                <w:rFonts w:ascii="Arial" w:eastAsia="Arial" w:hAnsi="Arial" w:cs="Arial"/>
                <w:sz w:val="20"/>
                <w:szCs w:val="20"/>
              </w:rPr>
            </w:pPr>
            <w:r w:rsidRPr="00FB75CB">
              <w:rPr>
                <w:rFonts w:ascii="Arial" w:eastAsia="Arial" w:hAnsi="Arial" w:cs="Arial"/>
                <w:sz w:val="20"/>
                <w:szCs w:val="20"/>
              </w:rPr>
              <w:t>No addit</w:t>
            </w:r>
            <w:r w:rsidR="00FB75CB">
              <w:rPr>
                <w:rFonts w:ascii="Arial" w:eastAsia="Arial" w:hAnsi="Arial" w:cs="Arial"/>
                <w:sz w:val="20"/>
                <w:szCs w:val="20"/>
              </w:rPr>
              <w:t>ion</w:t>
            </w:r>
            <w:r w:rsidRPr="00FB75CB">
              <w:rPr>
                <w:rFonts w:ascii="Arial" w:eastAsia="Arial" w:hAnsi="Arial" w:cs="Arial"/>
                <w:sz w:val="20"/>
                <w:szCs w:val="20"/>
              </w:rPr>
              <w:t>al comments</w:t>
            </w:r>
          </w:p>
        </w:tc>
      </w:tr>
      <w:tr w:rsidR="00691E8E" w14:paraId="288D7962" w14:textId="77777777" w:rsidTr="004C17E8">
        <w:trPr>
          <w:cantSplit/>
          <w:trHeight w:val="134"/>
        </w:trPr>
        <w:tc>
          <w:tcPr>
            <w:tcW w:w="625" w:type="dxa"/>
          </w:tcPr>
          <w:p w14:paraId="367AA253" w14:textId="6ADCBFB5" w:rsidR="00691E8E" w:rsidRDefault="00691E8E" w:rsidP="00512BFF">
            <w:pPr>
              <w:spacing w:before="30" w:after="30"/>
              <w:jc w:val="center"/>
              <w:rPr>
                <w:rFonts w:ascii="Arial" w:eastAsia="Arial" w:hAnsi="Arial" w:cs="Arial"/>
                <w:sz w:val="20"/>
                <w:szCs w:val="20"/>
              </w:rPr>
            </w:pPr>
            <w:r>
              <w:rPr>
                <w:rFonts w:ascii="Arial" w:eastAsia="Arial" w:hAnsi="Arial" w:cs="Arial"/>
                <w:sz w:val="20"/>
                <w:szCs w:val="20"/>
              </w:rPr>
              <w:lastRenderedPageBreak/>
              <w:t>3.</w:t>
            </w:r>
          </w:p>
        </w:tc>
        <w:tc>
          <w:tcPr>
            <w:tcW w:w="6030" w:type="dxa"/>
          </w:tcPr>
          <w:p w14:paraId="19B22292" w14:textId="3BA02AB9" w:rsidR="00691E8E" w:rsidRDefault="004C17E8" w:rsidP="00512BFF">
            <w:pPr>
              <w:spacing w:before="30" w:after="30"/>
              <w:rPr>
                <w:rFonts w:ascii="Arial" w:eastAsia="Arial" w:hAnsi="Arial" w:cs="Arial"/>
                <w:sz w:val="20"/>
                <w:szCs w:val="20"/>
              </w:rPr>
            </w:pPr>
            <w:r w:rsidRPr="004C17E8">
              <w:rPr>
                <w:rFonts w:ascii="Arial" w:eastAsia="Arial" w:hAnsi="Arial" w:cs="Arial"/>
                <w:sz w:val="20"/>
                <w:szCs w:val="20"/>
              </w:rPr>
              <w:t>Would you like to share any additional comments on this topic?</w:t>
            </w:r>
          </w:p>
        </w:tc>
        <w:tc>
          <w:tcPr>
            <w:tcW w:w="6840" w:type="dxa"/>
          </w:tcPr>
          <w:p w14:paraId="61E4FB67" w14:textId="4E58AACC" w:rsidR="00691E8E" w:rsidRDefault="00F91266" w:rsidP="00512BFF">
            <w:pPr>
              <w:spacing w:before="30" w:after="30"/>
              <w:rPr>
                <w:rFonts w:ascii="Arial" w:eastAsia="Arial" w:hAnsi="Arial" w:cs="Arial"/>
                <w:sz w:val="20"/>
                <w:szCs w:val="20"/>
              </w:rPr>
            </w:pPr>
            <w:r>
              <w:rPr>
                <w:rFonts w:ascii="Arial" w:eastAsia="Arial" w:hAnsi="Arial" w:cs="Arial"/>
                <w:sz w:val="20"/>
                <w:szCs w:val="20"/>
              </w:rPr>
              <w:t xml:space="preserve">No </w:t>
            </w:r>
            <w:r w:rsidR="00464DD3">
              <w:rPr>
                <w:rFonts w:ascii="Arial" w:eastAsia="Arial" w:hAnsi="Arial" w:cs="Arial"/>
                <w:sz w:val="20"/>
                <w:szCs w:val="20"/>
              </w:rPr>
              <w:t>additional comments</w:t>
            </w:r>
          </w:p>
        </w:tc>
      </w:tr>
      <w:tr w:rsidR="00691E8E" w14:paraId="214C6564" w14:textId="77777777" w:rsidTr="00691E8E">
        <w:trPr>
          <w:cantSplit/>
        </w:trPr>
        <w:tc>
          <w:tcPr>
            <w:tcW w:w="13495" w:type="dxa"/>
            <w:gridSpan w:val="3"/>
            <w:shd w:val="clear" w:color="auto" w:fill="E2EFD9" w:themeFill="accent6" w:themeFillTint="33"/>
          </w:tcPr>
          <w:p w14:paraId="47EB19DF" w14:textId="7EB2D76B" w:rsidR="00691E8E" w:rsidRPr="00691E8E" w:rsidRDefault="00691E8E" w:rsidP="00512BFF">
            <w:pPr>
              <w:spacing w:before="30" w:after="30"/>
              <w:rPr>
                <w:rFonts w:ascii="Arial" w:eastAsia="Arial" w:hAnsi="Arial" w:cs="Arial"/>
                <w:b/>
                <w:bCs/>
                <w:sz w:val="20"/>
                <w:szCs w:val="20"/>
              </w:rPr>
            </w:pPr>
            <w:r>
              <w:rPr>
                <w:rFonts w:ascii="Arial" w:eastAsia="Arial" w:hAnsi="Arial" w:cs="Arial"/>
                <w:b/>
                <w:bCs/>
                <w:sz w:val="20"/>
                <w:szCs w:val="20"/>
              </w:rPr>
              <w:t>2.8 Reputational Harm</w:t>
            </w:r>
          </w:p>
        </w:tc>
      </w:tr>
      <w:tr w:rsidR="00691E8E" w14:paraId="6E928AAA" w14:textId="77777777" w:rsidTr="004C17E8">
        <w:trPr>
          <w:cantSplit/>
          <w:trHeight w:val="134"/>
        </w:trPr>
        <w:tc>
          <w:tcPr>
            <w:tcW w:w="625" w:type="dxa"/>
          </w:tcPr>
          <w:p w14:paraId="63E2A91D" w14:textId="203A0905" w:rsidR="00691E8E" w:rsidRDefault="00691E8E" w:rsidP="00512BFF">
            <w:pPr>
              <w:spacing w:before="30" w:after="30"/>
              <w:jc w:val="center"/>
              <w:rPr>
                <w:rFonts w:ascii="Arial" w:eastAsia="Arial" w:hAnsi="Arial" w:cs="Arial"/>
                <w:sz w:val="20"/>
                <w:szCs w:val="20"/>
              </w:rPr>
            </w:pPr>
            <w:r>
              <w:rPr>
                <w:rFonts w:ascii="Arial" w:eastAsia="Arial" w:hAnsi="Arial" w:cs="Arial"/>
                <w:sz w:val="20"/>
                <w:szCs w:val="20"/>
              </w:rPr>
              <w:t>1.</w:t>
            </w:r>
          </w:p>
        </w:tc>
        <w:tc>
          <w:tcPr>
            <w:tcW w:w="6030" w:type="dxa"/>
          </w:tcPr>
          <w:p w14:paraId="097EADB5" w14:textId="378F08FA" w:rsidR="00691E8E" w:rsidRDefault="004C17E8" w:rsidP="00512BFF">
            <w:pPr>
              <w:spacing w:before="30" w:after="30"/>
              <w:rPr>
                <w:rFonts w:ascii="Arial" w:eastAsia="Arial" w:hAnsi="Arial" w:cs="Arial"/>
                <w:sz w:val="20"/>
                <w:szCs w:val="20"/>
              </w:rPr>
            </w:pPr>
            <w:r w:rsidRPr="004C17E8">
              <w:rPr>
                <w:rFonts w:ascii="Arial" w:eastAsia="Arial" w:hAnsi="Arial" w:cs="Arial"/>
                <w:sz w:val="20"/>
                <w:szCs w:val="20"/>
              </w:rPr>
              <w:t>Do you consider Gold Standard’s existing conditions related to reputational harm</w:t>
            </w:r>
            <w:r>
              <w:rPr>
                <w:rFonts w:ascii="Arial" w:eastAsia="Arial" w:hAnsi="Arial" w:cs="Arial"/>
                <w:sz w:val="20"/>
                <w:szCs w:val="20"/>
              </w:rPr>
              <w:t xml:space="preserve"> </w:t>
            </w:r>
            <w:r w:rsidRPr="004C17E8">
              <w:rPr>
                <w:rFonts w:ascii="Arial" w:eastAsia="Arial" w:hAnsi="Arial" w:cs="Arial"/>
                <w:sz w:val="20"/>
                <w:szCs w:val="20"/>
              </w:rPr>
              <w:t>to be suitable for the act of creating digital tokens representing Gold Standard</w:t>
            </w:r>
            <w:r>
              <w:rPr>
                <w:rFonts w:ascii="Arial" w:eastAsia="Arial" w:hAnsi="Arial" w:cs="Arial"/>
                <w:sz w:val="20"/>
                <w:szCs w:val="20"/>
              </w:rPr>
              <w:t xml:space="preserve"> </w:t>
            </w:r>
            <w:r w:rsidRPr="004C17E8">
              <w:rPr>
                <w:rFonts w:ascii="Arial" w:eastAsia="Arial" w:hAnsi="Arial" w:cs="Arial"/>
                <w:sz w:val="20"/>
                <w:szCs w:val="20"/>
              </w:rPr>
              <w:t>credits?</w:t>
            </w:r>
          </w:p>
        </w:tc>
        <w:tc>
          <w:tcPr>
            <w:tcW w:w="6840" w:type="dxa"/>
          </w:tcPr>
          <w:p w14:paraId="5BDAA902" w14:textId="45654F6C" w:rsidR="00691E8E" w:rsidRDefault="006D3EEF" w:rsidP="00512BFF">
            <w:pPr>
              <w:spacing w:before="30" w:after="30"/>
              <w:rPr>
                <w:rFonts w:ascii="Arial" w:eastAsia="Arial" w:hAnsi="Arial" w:cs="Arial"/>
                <w:sz w:val="20"/>
                <w:szCs w:val="20"/>
              </w:rPr>
            </w:pPr>
            <w:r>
              <w:rPr>
                <w:rFonts w:ascii="Arial" w:eastAsia="Arial" w:hAnsi="Arial" w:cs="Arial"/>
                <w:sz w:val="20"/>
                <w:szCs w:val="20"/>
              </w:rPr>
              <w:t xml:space="preserve">We believe </w:t>
            </w:r>
            <w:r w:rsidR="00FB75CB">
              <w:rPr>
                <w:rFonts w:ascii="Arial" w:eastAsia="Arial" w:hAnsi="Arial" w:cs="Arial"/>
                <w:sz w:val="20"/>
                <w:szCs w:val="20"/>
              </w:rPr>
              <w:t>GS’s</w:t>
            </w:r>
            <w:r>
              <w:rPr>
                <w:rFonts w:ascii="Arial" w:eastAsia="Arial" w:hAnsi="Arial" w:cs="Arial"/>
                <w:sz w:val="20"/>
                <w:szCs w:val="20"/>
              </w:rPr>
              <w:t xml:space="preserve"> </w:t>
            </w:r>
            <w:r w:rsidRPr="004C17E8">
              <w:rPr>
                <w:rFonts w:ascii="Arial" w:eastAsia="Arial" w:hAnsi="Arial" w:cs="Arial"/>
                <w:sz w:val="20"/>
                <w:szCs w:val="20"/>
              </w:rPr>
              <w:t>existing conditions related to reputational harm</w:t>
            </w:r>
            <w:r>
              <w:rPr>
                <w:rFonts w:ascii="Arial" w:eastAsia="Arial" w:hAnsi="Arial" w:cs="Arial"/>
                <w:sz w:val="20"/>
                <w:szCs w:val="20"/>
              </w:rPr>
              <w:t xml:space="preserve"> are broad enough to cover </w:t>
            </w:r>
            <w:r w:rsidRPr="004C17E8">
              <w:rPr>
                <w:rFonts w:ascii="Arial" w:eastAsia="Arial" w:hAnsi="Arial" w:cs="Arial"/>
                <w:sz w:val="20"/>
                <w:szCs w:val="20"/>
              </w:rPr>
              <w:t xml:space="preserve">the act of creating digital tokens representing </w:t>
            </w:r>
            <w:r w:rsidR="00FB75CB">
              <w:rPr>
                <w:rFonts w:ascii="Arial" w:eastAsia="Arial" w:hAnsi="Arial" w:cs="Arial"/>
                <w:sz w:val="20"/>
                <w:szCs w:val="20"/>
              </w:rPr>
              <w:t>GS</w:t>
            </w:r>
            <w:r>
              <w:rPr>
                <w:rFonts w:ascii="Arial" w:eastAsia="Arial" w:hAnsi="Arial" w:cs="Arial"/>
                <w:sz w:val="20"/>
                <w:szCs w:val="20"/>
              </w:rPr>
              <w:t xml:space="preserve"> </w:t>
            </w:r>
            <w:r w:rsidRPr="004C17E8">
              <w:rPr>
                <w:rFonts w:ascii="Arial" w:eastAsia="Arial" w:hAnsi="Arial" w:cs="Arial"/>
                <w:sz w:val="20"/>
                <w:szCs w:val="20"/>
              </w:rPr>
              <w:t>credits</w:t>
            </w:r>
            <w:r>
              <w:rPr>
                <w:rFonts w:ascii="Arial" w:eastAsia="Arial" w:hAnsi="Arial" w:cs="Arial"/>
                <w:sz w:val="20"/>
                <w:szCs w:val="20"/>
              </w:rPr>
              <w:t>.</w:t>
            </w:r>
          </w:p>
        </w:tc>
      </w:tr>
      <w:tr w:rsidR="00691E8E" w14:paraId="3297CA0A" w14:textId="77777777" w:rsidTr="004C17E8">
        <w:trPr>
          <w:cantSplit/>
          <w:trHeight w:val="134"/>
        </w:trPr>
        <w:tc>
          <w:tcPr>
            <w:tcW w:w="625" w:type="dxa"/>
          </w:tcPr>
          <w:p w14:paraId="3BC2526E" w14:textId="6D78BDD6" w:rsidR="00691E8E" w:rsidRDefault="00691E8E" w:rsidP="00512BFF">
            <w:pPr>
              <w:spacing w:before="30" w:after="30"/>
              <w:jc w:val="center"/>
              <w:rPr>
                <w:rFonts w:ascii="Arial" w:eastAsia="Arial" w:hAnsi="Arial" w:cs="Arial"/>
                <w:sz w:val="20"/>
                <w:szCs w:val="20"/>
              </w:rPr>
            </w:pPr>
            <w:r>
              <w:rPr>
                <w:rFonts w:ascii="Arial" w:eastAsia="Arial" w:hAnsi="Arial" w:cs="Arial"/>
                <w:sz w:val="20"/>
                <w:szCs w:val="20"/>
              </w:rPr>
              <w:t>2.</w:t>
            </w:r>
          </w:p>
        </w:tc>
        <w:tc>
          <w:tcPr>
            <w:tcW w:w="6030" w:type="dxa"/>
          </w:tcPr>
          <w:p w14:paraId="28E123C6" w14:textId="6DF9A7CD" w:rsidR="00691E8E" w:rsidRDefault="004C17E8" w:rsidP="00512BFF">
            <w:pPr>
              <w:spacing w:before="30" w:after="30"/>
              <w:rPr>
                <w:rFonts w:ascii="Arial" w:eastAsia="Arial" w:hAnsi="Arial" w:cs="Arial"/>
                <w:sz w:val="20"/>
                <w:szCs w:val="20"/>
              </w:rPr>
            </w:pPr>
            <w:r w:rsidRPr="004C17E8">
              <w:rPr>
                <w:rFonts w:ascii="Arial" w:eastAsia="Arial" w:hAnsi="Arial" w:cs="Arial"/>
                <w:sz w:val="20"/>
                <w:szCs w:val="20"/>
              </w:rPr>
              <w:t>If not, what amendments or additions do you believe are needed?</w:t>
            </w:r>
          </w:p>
        </w:tc>
        <w:tc>
          <w:tcPr>
            <w:tcW w:w="6840" w:type="dxa"/>
          </w:tcPr>
          <w:p w14:paraId="6026264A" w14:textId="6CDFB9B3" w:rsidR="00691E8E" w:rsidRDefault="006D3EEF" w:rsidP="00512BFF">
            <w:pPr>
              <w:spacing w:before="30" w:after="30"/>
              <w:rPr>
                <w:rFonts w:ascii="Arial" w:eastAsia="Arial" w:hAnsi="Arial" w:cs="Arial"/>
                <w:sz w:val="20"/>
                <w:szCs w:val="20"/>
              </w:rPr>
            </w:pPr>
            <w:r>
              <w:rPr>
                <w:rFonts w:ascii="Arial" w:eastAsia="Arial" w:hAnsi="Arial" w:cs="Arial"/>
                <w:sz w:val="20"/>
                <w:szCs w:val="20"/>
              </w:rPr>
              <w:t>N.A.</w:t>
            </w:r>
          </w:p>
        </w:tc>
      </w:tr>
      <w:tr w:rsidR="00691E8E" w14:paraId="2630E9F6" w14:textId="77777777" w:rsidTr="004C17E8">
        <w:trPr>
          <w:cantSplit/>
          <w:trHeight w:val="134"/>
        </w:trPr>
        <w:tc>
          <w:tcPr>
            <w:tcW w:w="625" w:type="dxa"/>
          </w:tcPr>
          <w:p w14:paraId="51E1CA9E" w14:textId="4C179D59" w:rsidR="00691E8E" w:rsidRDefault="00691E8E" w:rsidP="00512BFF">
            <w:pPr>
              <w:spacing w:before="30" w:after="30"/>
              <w:jc w:val="center"/>
              <w:rPr>
                <w:rFonts w:ascii="Arial" w:eastAsia="Arial" w:hAnsi="Arial" w:cs="Arial"/>
                <w:sz w:val="20"/>
                <w:szCs w:val="20"/>
              </w:rPr>
            </w:pPr>
            <w:r>
              <w:rPr>
                <w:rFonts w:ascii="Arial" w:eastAsia="Arial" w:hAnsi="Arial" w:cs="Arial"/>
                <w:sz w:val="20"/>
                <w:szCs w:val="20"/>
              </w:rPr>
              <w:t>3.</w:t>
            </w:r>
          </w:p>
        </w:tc>
        <w:tc>
          <w:tcPr>
            <w:tcW w:w="6030" w:type="dxa"/>
          </w:tcPr>
          <w:p w14:paraId="5E26EC88" w14:textId="545092AC" w:rsidR="00691E8E" w:rsidRDefault="004C17E8" w:rsidP="00512BFF">
            <w:pPr>
              <w:spacing w:before="30" w:after="30"/>
              <w:rPr>
                <w:rFonts w:ascii="Arial" w:eastAsia="Arial" w:hAnsi="Arial" w:cs="Arial"/>
                <w:sz w:val="20"/>
                <w:szCs w:val="20"/>
              </w:rPr>
            </w:pPr>
            <w:r w:rsidRPr="004C17E8">
              <w:rPr>
                <w:rFonts w:ascii="Arial" w:eastAsia="Arial" w:hAnsi="Arial" w:cs="Arial"/>
                <w:sz w:val="20"/>
                <w:szCs w:val="20"/>
              </w:rPr>
              <w:t>Would you like to share any additional comments on this topic?</w:t>
            </w:r>
          </w:p>
        </w:tc>
        <w:tc>
          <w:tcPr>
            <w:tcW w:w="6840" w:type="dxa"/>
          </w:tcPr>
          <w:p w14:paraId="164D1525" w14:textId="39757A7B" w:rsidR="00691E8E" w:rsidRDefault="00F91266" w:rsidP="00512BFF">
            <w:pPr>
              <w:spacing w:before="30" w:after="30"/>
              <w:rPr>
                <w:rFonts w:ascii="Arial" w:eastAsia="Arial" w:hAnsi="Arial" w:cs="Arial"/>
                <w:sz w:val="20"/>
                <w:szCs w:val="20"/>
              </w:rPr>
            </w:pPr>
            <w:r>
              <w:rPr>
                <w:rFonts w:ascii="Arial" w:eastAsia="Arial" w:hAnsi="Arial" w:cs="Arial"/>
                <w:sz w:val="20"/>
                <w:szCs w:val="20"/>
              </w:rPr>
              <w:t>No additional comments.</w:t>
            </w:r>
          </w:p>
        </w:tc>
      </w:tr>
    </w:tbl>
    <w:p w14:paraId="7DD05B73" w14:textId="2DFF0ECC" w:rsidR="002127F0" w:rsidRDefault="00691E8E">
      <w:pPr>
        <w:spacing w:after="0"/>
        <w:rPr>
          <w:rFonts w:ascii="Arial" w:eastAsia="Arial" w:hAnsi="Arial" w:cs="Arial"/>
          <w:sz w:val="20"/>
          <w:szCs w:val="20"/>
        </w:rPr>
      </w:pPr>
      <w:r>
        <w:rPr>
          <w:rFonts w:ascii="Arial" w:eastAsia="Arial" w:hAnsi="Arial" w:cs="Arial"/>
          <w:sz w:val="20"/>
          <w:szCs w:val="20"/>
        </w:rPr>
        <w:tab/>
      </w:r>
    </w:p>
    <w:p w14:paraId="3D5148CF" w14:textId="77777777" w:rsidR="002127F0" w:rsidRDefault="002127F0">
      <w:pPr>
        <w:rPr>
          <w:rFonts w:ascii="Arial" w:eastAsia="Arial" w:hAnsi="Arial" w:cs="Arial"/>
          <w:b/>
          <w:sz w:val="20"/>
          <w:szCs w:val="20"/>
          <w:u w:val="single"/>
        </w:rPr>
      </w:pPr>
    </w:p>
    <w:sectPr w:rsidR="002127F0">
      <w:footerReference w:type="default" r:id="rId8"/>
      <w:pgSz w:w="15840" w:h="12240" w:orient="landscape"/>
      <w:pgMar w:top="1152" w:right="1152" w:bottom="1152" w:left="1152"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4433D" w14:textId="77777777" w:rsidR="008423A0" w:rsidRDefault="008423A0">
      <w:pPr>
        <w:spacing w:after="0" w:line="240" w:lineRule="auto"/>
      </w:pPr>
      <w:r>
        <w:separator/>
      </w:r>
    </w:p>
  </w:endnote>
  <w:endnote w:type="continuationSeparator" w:id="0">
    <w:p w14:paraId="5CE33219" w14:textId="77777777" w:rsidR="008423A0" w:rsidRDefault="00842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B1B5A" w14:textId="77777777" w:rsidR="002127F0" w:rsidRDefault="002127F0">
    <w:pPr>
      <w:pBdr>
        <w:top w:val="nil"/>
        <w:left w:val="nil"/>
        <w:bottom w:val="nil"/>
        <w:right w:val="nil"/>
        <w:between w:val="nil"/>
      </w:pBdr>
      <w:tabs>
        <w:tab w:val="center" w:pos="4680"/>
        <w:tab w:val="right" w:pos="9360"/>
      </w:tabs>
      <w:spacing w:after="0" w:line="240" w:lineRule="auto"/>
      <w:jc w:val="center"/>
      <w:rPr>
        <w:color w:val="000000"/>
      </w:rPr>
    </w:pPr>
  </w:p>
  <w:p w14:paraId="0C352A7C" w14:textId="77777777" w:rsidR="002127F0" w:rsidRDefault="00000000">
    <w:pPr>
      <w:pBdr>
        <w:top w:val="nil"/>
        <w:left w:val="nil"/>
        <w:bottom w:val="nil"/>
        <w:right w:val="nil"/>
        <w:between w:val="nil"/>
      </w:pBdr>
      <w:tabs>
        <w:tab w:val="center" w:pos="4680"/>
        <w:tab w:val="right" w:pos="9360"/>
      </w:tabs>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5608B9">
      <w:rPr>
        <w:rFonts w:ascii="Arial" w:eastAsia="Arial" w:hAnsi="Arial" w:cs="Arial"/>
        <w:noProof/>
        <w:color w:val="000000"/>
        <w:sz w:val="20"/>
        <w:szCs w:val="20"/>
      </w:rPr>
      <w:t>1</w:t>
    </w:r>
    <w:r>
      <w:rPr>
        <w:rFonts w:ascii="Arial" w:eastAsia="Arial" w:hAnsi="Arial" w:cs="Arial"/>
        <w:color w:val="000000"/>
        <w:sz w:val="20"/>
        <w:szCs w:val="20"/>
      </w:rPr>
      <w:fldChar w:fldCharType="end"/>
    </w:r>
  </w:p>
  <w:p w14:paraId="6EAB81E7" w14:textId="77777777" w:rsidR="002127F0" w:rsidRDefault="002127F0">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A3659" w14:textId="77777777" w:rsidR="008423A0" w:rsidRDefault="008423A0">
      <w:pPr>
        <w:spacing w:after="0" w:line="240" w:lineRule="auto"/>
      </w:pPr>
      <w:r>
        <w:separator/>
      </w:r>
    </w:p>
  </w:footnote>
  <w:footnote w:type="continuationSeparator" w:id="0">
    <w:p w14:paraId="31F44D50" w14:textId="77777777" w:rsidR="008423A0" w:rsidRDefault="008423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11628"/>
    <w:multiLevelType w:val="multilevel"/>
    <w:tmpl w:val="41888F2A"/>
    <w:lvl w:ilvl="0">
      <w:start w:val="4"/>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4644260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7F0"/>
    <w:rsid w:val="00034456"/>
    <w:rsid w:val="00034EA9"/>
    <w:rsid w:val="000405C3"/>
    <w:rsid w:val="00072582"/>
    <w:rsid w:val="0008312C"/>
    <w:rsid w:val="000B330E"/>
    <w:rsid w:val="000D1E02"/>
    <w:rsid w:val="000E2541"/>
    <w:rsid w:val="000F3A0F"/>
    <w:rsid w:val="0010541D"/>
    <w:rsid w:val="001241D8"/>
    <w:rsid w:val="00157693"/>
    <w:rsid w:val="00167909"/>
    <w:rsid w:val="001B766C"/>
    <w:rsid w:val="001C2FA9"/>
    <w:rsid w:val="001D28D7"/>
    <w:rsid w:val="001D5AE3"/>
    <w:rsid w:val="001E32D5"/>
    <w:rsid w:val="001F3E59"/>
    <w:rsid w:val="002037E9"/>
    <w:rsid w:val="00211E98"/>
    <w:rsid w:val="002127F0"/>
    <w:rsid w:val="0021747B"/>
    <w:rsid w:val="00245CF5"/>
    <w:rsid w:val="002511E5"/>
    <w:rsid w:val="002512C7"/>
    <w:rsid w:val="00262FCF"/>
    <w:rsid w:val="00276C57"/>
    <w:rsid w:val="002776B7"/>
    <w:rsid w:val="002825DE"/>
    <w:rsid w:val="0028398E"/>
    <w:rsid w:val="002A0868"/>
    <w:rsid w:val="002A5C3E"/>
    <w:rsid w:val="002C5E69"/>
    <w:rsid w:val="002F30DF"/>
    <w:rsid w:val="003212BC"/>
    <w:rsid w:val="00326D94"/>
    <w:rsid w:val="00354238"/>
    <w:rsid w:val="00361649"/>
    <w:rsid w:val="0039721F"/>
    <w:rsid w:val="003A286C"/>
    <w:rsid w:val="003A70DF"/>
    <w:rsid w:val="003B1700"/>
    <w:rsid w:val="004168F9"/>
    <w:rsid w:val="00464DD3"/>
    <w:rsid w:val="00473D56"/>
    <w:rsid w:val="00476C1F"/>
    <w:rsid w:val="00480E7B"/>
    <w:rsid w:val="00486606"/>
    <w:rsid w:val="004A1909"/>
    <w:rsid w:val="004C17E8"/>
    <w:rsid w:val="004E5B02"/>
    <w:rsid w:val="005058DD"/>
    <w:rsid w:val="00512BFF"/>
    <w:rsid w:val="00515BC7"/>
    <w:rsid w:val="00516DA2"/>
    <w:rsid w:val="00520FB6"/>
    <w:rsid w:val="005332BE"/>
    <w:rsid w:val="005350DE"/>
    <w:rsid w:val="00546C22"/>
    <w:rsid w:val="005608B9"/>
    <w:rsid w:val="00576975"/>
    <w:rsid w:val="00583E53"/>
    <w:rsid w:val="005A0FEF"/>
    <w:rsid w:val="005C0439"/>
    <w:rsid w:val="005C2F1E"/>
    <w:rsid w:val="005D67AC"/>
    <w:rsid w:val="005E1ABF"/>
    <w:rsid w:val="005E6E6F"/>
    <w:rsid w:val="005F0079"/>
    <w:rsid w:val="005F5D5F"/>
    <w:rsid w:val="006006A0"/>
    <w:rsid w:val="00601CD8"/>
    <w:rsid w:val="00613331"/>
    <w:rsid w:val="00626232"/>
    <w:rsid w:val="006466A1"/>
    <w:rsid w:val="00675F3B"/>
    <w:rsid w:val="00691E8E"/>
    <w:rsid w:val="006D3EEF"/>
    <w:rsid w:val="006E2F1B"/>
    <w:rsid w:val="006F344E"/>
    <w:rsid w:val="00716C48"/>
    <w:rsid w:val="0075495A"/>
    <w:rsid w:val="0078041F"/>
    <w:rsid w:val="007A24C1"/>
    <w:rsid w:val="007A4D5D"/>
    <w:rsid w:val="007A59C2"/>
    <w:rsid w:val="007A636B"/>
    <w:rsid w:val="007D101C"/>
    <w:rsid w:val="007E6C7B"/>
    <w:rsid w:val="007F2353"/>
    <w:rsid w:val="007F247F"/>
    <w:rsid w:val="008027B4"/>
    <w:rsid w:val="00821080"/>
    <w:rsid w:val="008423A0"/>
    <w:rsid w:val="00847568"/>
    <w:rsid w:val="00847D62"/>
    <w:rsid w:val="00854640"/>
    <w:rsid w:val="00886787"/>
    <w:rsid w:val="00890A74"/>
    <w:rsid w:val="00892F4E"/>
    <w:rsid w:val="008A0BA4"/>
    <w:rsid w:val="008D482D"/>
    <w:rsid w:val="008D59C2"/>
    <w:rsid w:val="00903120"/>
    <w:rsid w:val="00940AA7"/>
    <w:rsid w:val="00945A83"/>
    <w:rsid w:val="00956935"/>
    <w:rsid w:val="00956FB3"/>
    <w:rsid w:val="00980A3B"/>
    <w:rsid w:val="00986433"/>
    <w:rsid w:val="009B0CE6"/>
    <w:rsid w:val="009B5935"/>
    <w:rsid w:val="009D4DB5"/>
    <w:rsid w:val="009E1F7A"/>
    <w:rsid w:val="009F0BCD"/>
    <w:rsid w:val="009F38FB"/>
    <w:rsid w:val="00A12E8E"/>
    <w:rsid w:val="00A230A4"/>
    <w:rsid w:val="00A53243"/>
    <w:rsid w:val="00A55442"/>
    <w:rsid w:val="00A60CCA"/>
    <w:rsid w:val="00A778AD"/>
    <w:rsid w:val="00A824A3"/>
    <w:rsid w:val="00AB25AC"/>
    <w:rsid w:val="00AD1DFD"/>
    <w:rsid w:val="00AD37A0"/>
    <w:rsid w:val="00AD6E63"/>
    <w:rsid w:val="00AD7A80"/>
    <w:rsid w:val="00B3140F"/>
    <w:rsid w:val="00B4787F"/>
    <w:rsid w:val="00B81CB9"/>
    <w:rsid w:val="00BD3BEC"/>
    <w:rsid w:val="00BD78AE"/>
    <w:rsid w:val="00BE4F1A"/>
    <w:rsid w:val="00BF10B1"/>
    <w:rsid w:val="00BF1E3C"/>
    <w:rsid w:val="00C348F9"/>
    <w:rsid w:val="00C67D2E"/>
    <w:rsid w:val="00C90FB7"/>
    <w:rsid w:val="00CB29A3"/>
    <w:rsid w:val="00CC3EA1"/>
    <w:rsid w:val="00CC7261"/>
    <w:rsid w:val="00CC72FE"/>
    <w:rsid w:val="00D25E44"/>
    <w:rsid w:val="00D54211"/>
    <w:rsid w:val="00D5794A"/>
    <w:rsid w:val="00D6672F"/>
    <w:rsid w:val="00D73E9B"/>
    <w:rsid w:val="00D770DD"/>
    <w:rsid w:val="00DA7D68"/>
    <w:rsid w:val="00DB733E"/>
    <w:rsid w:val="00E02BFA"/>
    <w:rsid w:val="00E04BF1"/>
    <w:rsid w:val="00E12B2E"/>
    <w:rsid w:val="00E25EDE"/>
    <w:rsid w:val="00E44493"/>
    <w:rsid w:val="00E531E6"/>
    <w:rsid w:val="00E55853"/>
    <w:rsid w:val="00E562C7"/>
    <w:rsid w:val="00E96AE5"/>
    <w:rsid w:val="00EA5601"/>
    <w:rsid w:val="00EA6B52"/>
    <w:rsid w:val="00EC665A"/>
    <w:rsid w:val="00EE7367"/>
    <w:rsid w:val="00EF0632"/>
    <w:rsid w:val="00F00108"/>
    <w:rsid w:val="00F32299"/>
    <w:rsid w:val="00F3229A"/>
    <w:rsid w:val="00F32E13"/>
    <w:rsid w:val="00F3520A"/>
    <w:rsid w:val="00F41D1A"/>
    <w:rsid w:val="00F46D2F"/>
    <w:rsid w:val="00F6368A"/>
    <w:rsid w:val="00F72030"/>
    <w:rsid w:val="00F81A2B"/>
    <w:rsid w:val="00F8409D"/>
    <w:rsid w:val="00F91266"/>
    <w:rsid w:val="00F9528C"/>
    <w:rsid w:val="00F95431"/>
    <w:rsid w:val="00FA36BE"/>
    <w:rsid w:val="00FA4C18"/>
    <w:rsid w:val="00FA658C"/>
    <w:rsid w:val="00FB75CB"/>
    <w:rsid w:val="00FD010A"/>
    <w:rsid w:val="00FD2AD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E1FA8E"/>
  <w15:docId w15:val="{FAB16B49-DC3D-5642-ADAA-3DAA4623E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1A10AE"/>
    <w:pPr>
      <w:ind w:left="720"/>
      <w:contextualSpacing/>
    </w:pPr>
  </w:style>
  <w:style w:type="table" w:styleId="TableGrid">
    <w:name w:val="Table Grid"/>
    <w:basedOn w:val="TableNormal"/>
    <w:uiPriority w:val="39"/>
    <w:rsid w:val="006874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B3C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3CCB"/>
  </w:style>
  <w:style w:type="paragraph" w:styleId="Footer">
    <w:name w:val="footer"/>
    <w:basedOn w:val="Normal"/>
    <w:link w:val="FooterChar"/>
    <w:uiPriority w:val="99"/>
    <w:unhideWhenUsed/>
    <w:rsid w:val="008B3C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3CCB"/>
  </w:style>
  <w:style w:type="paragraph" w:styleId="Revision">
    <w:name w:val="Revision"/>
    <w:hidden/>
    <w:uiPriority w:val="99"/>
    <w:semiHidden/>
    <w:rsid w:val="004C4CE7"/>
    <w:pPr>
      <w:spacing w:after="0" w:line="240" w:lineRule="auto"/>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character" w:styleId="CommentReference">
    <w:name w:val="annotation reference"/>
    <w:basedOn w:val="DefaultParagraphFont"/>
    <w:uiPriority w:val="99"/>
    <w:semiHidden/>
    <w:unhideWhenUsed/>
    <w:rsid w:val="005608B9"/>
    <w:rPr>
      <w:sz w:val="16"/>
      <w:szCs w:val="16"/>
    </w:rPr>
  </w:style>
  <w:style w:type="paragraph" w:styleId="CommentText">
    <w:name w:val="annotation text"/>
    <w:basedOn w:val="Normal"/>
    <w:link w:val="CommentTextChar"/>
    <w:uiPriority w:val="99"/>
    <w:semiHidden/>
    <w:unhideWhenUsed/>
    <w:rsid w:val="005608B9"/>
    <w:pPr>
      <w:spacing w:line="240" w:lineRule="auto"/>
    </w:pPr>
    <w:rPr>
      <w:sz w:val="20"/>
      <w:szCs w:val="20"/>
    </w:rPr>
  </w:style>
  <w:style w:type="character" w:customStyle="1" w:styleId="CommentTextChar">
    <w:name w:val="Comment Text Char"/>
    <w:basedOn w:val="DefaultParagraphFont"/>
    <w:link w:val="CommentText"/>
    <w:uiPriority w:val="99"/>
    <w:semiHidden/>
    <w:rsid w:val="005608B9"/>
    <w:rPr>
      <w:sz w:val="20"/>
      <w:szCs w:val="20"/>
    </w:rPr>
  </w:style>
  <w:style w:type="paragraph" w:styleId="CommentSubject">
    <w:name w:val="annotation subject"/>
    <w:basedOn w:val="CommentText"/>
    <w:next w:val="CommentText"/>
    <w:link w:val="CommentSubjectChar"/>
    <w:uiPriority w:val="99"/>
    <w:semiHidden/>
    <w:unhideWhenUsed/>
    <w:rsid w:val="005608B9"/>
    <w:rPr>
      <w:b/>
      <w:bCs/>
    </w:rPr>
  </w:style>
  <w:style w:type="character" w:customStyle="1" w:styleId="CommentSubjectChar">
    <w:name w:val="Comment Subject Char"/>
    <w:basedOn w:val="CommentTextChar"/>
    <w:link w:val="CommentSubject"/>
    <w:uiPriority w:val="99"/>
    <w:semiHidden/>
    <w:rsid w:val="005608B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0793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xgeMrrzT4C6bMBPNC7BrdirPCA==">AMUW2mVkqn9EfWgfDUA7MlA8dzRD4jtPXKADbtuDusWOaiTHmsQGXO9DVQUeo+m/gxFkBcqcrcmoTJrJrGCWCMin07mFkV/ltQcBjFE4v8qRLWW9RqcPuFY=</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110580747FEEB49A6283BF5895AE131" ma:contentTypeVersion="22" ma:contentTypeDescription="Create a new document." ma:contentTypeScope="" ma:versionID="e16f8f185de7e03467e9567ca92d1f68">
  <xsd:schema xmlns:xsd="http://www.w3.org/2001/XMLSchema" xmlns:xs="http://www.w3.org/2001/XMLSchema" xmlns:p="http://schemas.microsoft.com/office/2006/metadata/properties" xmlns:ns2="40ff25b3-493e-4851-82b7-4e504def2eba" xmlns:ns3="c508fc69-c1d3-40c1-8658-917a17ee6113" xmlns:ns4="a057d775-0583-4dcc-9fa0-e815063c935a" targetNamespace="http://schemas.microsoft.com/office/2006/metadata/properties" ma:root="true" ma:fieldsID="cb524feebadaf5d81deb2a98cc2c1efc" ns2:_="" ns3:_="" ns4:_="">
    <xsd:import namespace="40ff25b3-493e-4851-82b7-4e504def2eba"/>
    <xsd:import namespace="c508fc69-c1d3-40c1-8658-917a17ee6113"/>
    <xsd:import namespace="a057d775-0583-4dcc-9fa0-e815063c935a"/>
    <xsd:element name="properties">
      <xsd:complexType>
        <xsd:sequence>
          <xsd:element name="documentManagement">
            <xsd:complexType>
              <xsd:all>
                <xsd:element ref="ns2:SharedWithUsers" minOccurs="0"/>
                <xsd:element ref="ns2:SharedWithDetails"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EventHashCode" minOccurs="0"/>
                <xsd:element ref="ns4:MediaServiceGenerationTime" minOccurs="0"/>
                <xsd:element ref="ns4:MediaServiceOCR" minOccurs="0"/>
                <xsd:element ref="ns4:MediaServiceAutoKeyPoints" minOccurs="0"/>
                <xsd:element ref="ns4:MediaServiceKeyPoints" minOccurs="0"/>
                <xsd:element ref="ns4:MediaServiceLocation" minOccurs="0"/>
                <xsd:element ref="ns4:Notes" minOccurs="0"/>
                <xsd:element ref="ns4:Weblink" minOccurs="0"/>
                <xsd:element ref="ns4:Relevance" minOccurs="0"/>
                <xsd:element ref="ns4:MediaLengthInSeconds" minOccurs="0"/>
                <xsd:element ref="ns4: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f25b3-493e-4851-82b7-4e504def2eb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8" nillable="true" ma:displayName="Taxonomy Catch All Column" ma:hidden="true" ma:list="{6e76a904-278e-435e-b259-2f7e11d2de08}" ma:internalName="TaxCatchAll" ma:showField="CatchAllData" ma:web="40ff25b3-493e-4851-82b7-4e504def2eb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508fc69-c1d3-40c1-8658-917a17ee6113" elementFormDefault="qualified">
    <xsd:import namespace="http://schemas.microsoft.com/office/2006/documentManagement/types"/>
    <xsd:import namespace="http://schemas.microsoft.com/office/infopath/2007/PartnerControls"/>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057d775-0583-4dcc-9fa0-e815063c935a"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Notes" ma:index="22" nillable="true" ma:displayName="Notes" ma:default="NA" ma:format="Dropdown" ma:internalName="Notes">
      <xsd:simpleType>
        <xsd:restriction base="dms:Note">
          <xsd:maxLength value="255"/>
        </xsd:restriction>
      </xsd:simpleType>
    </xsd:element>
    <xsd:element name="Weblink" ma:index="23" nillable="true" ma:displayName="Weblink" ma:description="https://www.perspectives.cc/fileadmin/Publications/SEA_Pricing_Study.pdf" ma:format="Hyperlink" ma:internalName="Weblink">
      <xsd:complexType>
        <xsd:complexContent>
          <xsd:extension base="dms:URL">
            <xsd:sequence>
              <xsd:element name="Url" type="dms:ValidUrl" minOccurs="0" nillable="true"/>
              <xsd:element name="Description" type="xsd:string" nillable="true"/>
            </xsd:sequence>
          </xsd:extension>
        </xsd:complexContent>
      </xsd:complexType>
    </xsd:element>
    <xsd:element name="Relevance" ma:index="24" nillable="true" ma:displayName="Relevance" ma:default="Enter Choice #Art 6" ma:internalName="Relevance">
      <xsd:complexType>
        <xsd:complexContent>
          <xsd:extension base="dms:MultiChoice">
            <xsd:sequence>
              <xsd:element name="Value" maxOccurs="unbounded" minOccurs="0" nillable="true">
                <xsd:simpleType>
                  <xsd:restriction base="dms:Choice">
                    <xsd:enumeration value="Enter Choice #Art 6"/>
                    <xsd:enumeration value="Enter Choice #CA"/>
                    <xsd:enumeration value="Enter Choice #SDG"/>
                  </xsd:restriction>
                </xsd:simpleType>
              </xsd:element>
            </xsd:sequence>
          </xsd:extension>
        </xsd:complexContent>
      </xsd:complex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c862acf3-5257-4c8e-a7f6-c800878fb93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0ff25b3-493e-4851-82b7-4e504def2eba" xsi:nil="true"/>
    <Weblink xmlns="a057d775-0583-4dcc-9fa0-e815063c935a">
      <Url xsi:nil="true"/>
      <Description xsi:nil="true"/>
    </Weblink>
    <Notes xmlns="a057d775-0583-4dcc-9fa0-e815063c935a">NA</Notes>
    <Relevance xmlns="a057d775-0583-4dcc-9fa0-e815063c935a">
      <Value>Enter Choice #Art 6</Value>
    </Relevance>
    <lcf76f155ced4ddcb4097134ff3c332f xmlns="a057d775-0583-4dcc-9fa0-e815063c935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C144F3F-A543-4DBD-805C-BBD544D55389}"/>
</file>

<file path=customXml/itemProps3.xml><?xml version="1.0" encoding="utf-8"?>
<ds:datastoreItem xmlns:ds="http://schemas.openxmlformats.org/officeDocument/2006/customXml" ds:itemID="{93F40EE3-542E-43FA-AF9B-4DAA91130AF7}"/>
</file>

<file path=customXml/itemProps4.xml><?xml version="1.0" encoding="utf-8"?>
<ds:datastoreItem xmlns:ds="http://schemas.openxmlformats.org/officeDocument/2006/customXml" ds:itemID="{6D1C7895-A629-47D4-A5F4-5CC07FD0D998}"/>
</file>

<file path=docProps/app.xml><?xml version="1.0" encoding="utf-8"?>
<Properties xmlns="http://schemas.openxmlformats.org/officeDocument/2006/extended-properties" xmlns:vt="http://schemas.openxmlformats.org/officeDocument/2006/docPropsVTypes">
  <Template>Normal</Template>
  <TotalTime>0</TotalTime>
  <Pages>6</Pages>
  <Words>2133</Words>
  <Characters>12159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dc:creator>
  <cp:lastModifiedBy>Corinne Boone</cp:lastModifiedBy>
  <cp:revision>2</cp:revision>
  <dcterms:created xsi:type="dcterms:W3CDTF">2022-10-27T18:21:00Z</dcterms:created>
  <dcterms:modified xsi:type="dcterms:W3CDTF">2022-10-27T18:21:00Z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0x0101004110580747FEEB49A6283BF5895AE131</vt:lpwstr>
  </property>
</Properties>
</file>