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7017078" w14:textId="6BBE25E1" w:rsidR="006E5C5F" w:rsidRPr="00EC52A2" w:rsidRDefault="006F5EE1" w:rsidP="006E5C5F">
      <w:pPr>
        <w:autoSpaceDE w:val="0"/>
        <w:autoSpaceDN w:val="0"/>
        <w:adjustRightInd w:val="0"/>
        <w:spacing w:after="0"/>
        <w:rPr>
          <w:rFonts w:ascii="Calibri" w:hAnsi="Calibri" w:cs="Arial"/>
          <w:bCs/>
          <w:color w:val="006001"/>
          <w:sz w:val="28"/>
          <w:szCs w:val="28"/>
        </w:rPr>
      </w:pPr>
      <w:bookmarkStart w:id="0" w:name="_GoBack"/>
      <w:bookmarkEnd w:id="0"/>
      <w:r>
        <w:rPr>
          <w:rFonts w:ascii="Calibri" w:hAnsi="Calibri" w:cs="Arial"/>
          <w:bCs/>
          <w:color w:val="006001"/>
          <w:sz w:val="28"/>
          <w:szCs w:val="28"/>
        </w:rPr>
        <w:tab/>
      </w:r>
      <w:r>
        <w:rPr>
          <w:rFonts w:ascii="Calibri" w:hAnsi="Calibri" w:cs="Arial"/>
          <w:bCs/>
          <w:color w:val="006001"/>
          <w:sz w:val="28"/>
          <w:szCs w:val="28"/>
        </w:rPr>
        <w:tab/>
      </w:r>
      <w:r>
        <w:rPr>
          <w:rFonts w:ascii="Calibri" w:hAnsi="Calibri" w:cs="Arial"/>
          <w:bCs/>
          <w:color w:val="006001"/>
          <w:sz w:val="28"/>
          <w:szCs w:val="28"/>
        </w:rPr>
        <w:tab/>
      </w:r>
      <w:r>
        <w:rPr>
          <w:rFonts w:ascii="Calibri" w:hAnsi="Calibri" w:cs="Arial"/>
          <w:bCs/>
          <w:color w:val="006001"/>
          <w:sz w:val="28"/>
          <w:szCs w:val="28"/>
        </w:rPr>
        <w:tab/>
      </w:r>
      <w:r>
        <w:rPr>
          <w:rFonts w:ascii="Calibri" w:hAnsi="Calibri" w:cs="Arial"/>
          <w:bCs/>
          <w:color w:val="006001"/>
          <w:sz w:val="28"/>
          <w:szCs w:val="28"/>
        </w:rPr>
        <w:tab/>
      </w:r>
      <w:r>
        <w:rPr>
          <w:rFonts w:ascii="Calibri" w:hAnsi="Calibri" w:cs="Arial"/>
          <w:bCs/>
          <w:color w:val="006001"/>
          <w:sz w:val="28"/>
          <w:szCs w:val="28"/>
        </w:rPr>
        <w:tab/>
      </w:r>
    </w:p>
    <w:p w14:paraId="5D445CF8" w14:textId="77777777" w:rsidR="006E5C5F" w:rsidRPr="00EC52A2" w:rsidRDefault="006E5C5F" w:rsidP="006E5C5F">
      <w:pPr>
        <w:autoSpaceDE w:val="0"/>
        <w:autoSpaceDN w:val="0"/>
        <w:adjustRightInd w:val="0"/>
        <w:spacing w:after="0"/>
        <w:rPr>
          <w:rFonts w:ascii="Calibri" w:hAnsi="Calibri" w:cs="Arial"/>
          <w:bCs/>
          <w:color w:val="006001"/>
          <w:sz w:val="28"/>
          <w:szCs w:val="28"/>
        </w:rPr>
      </w:pPr>
    </w:p>
    <w:p w14:paraId="575A9C68" w14:textId="77777777" w:rsidR="006E5C5F" w:rsidRPr="00EC52A2" w:rsidRDefault="006E5C5F" w:rsidP="006E5C5F">
      <w:pPr>
        <w:autoSpaceDE w:val="0"/>
        <w:autoSpaceDN w:val="0"/>
        <w:adjustRightInd w:val="0"/>
        <w:spacing w:after="0"/>
        <w:rPr>
          <w:rFonts w:ascii="Calibri" w:hAnsi="Calibri" w:cs="Arial"/>
          <w:bCs/>
          <w:color w:val="006001"/>
          <w:sz w:val="28"/>
          <w:szCs w:val="28"/>
        </w:rPr>
      </w:pPr>
    </w:p>
    <w:p w14:paraId="4A2F1327" w14:textId="77777777" w:rsidR="006E5C5F" w:rsidRPr="00EC52A2" w:rsidRDefault="006E5C5F" w:rsidP="006E5C5F">
      <w:pPr>
        <w:autoSpaceDE w:val="0"/>
        <w:autoSpaceDN w:val="0"/>
        <w:adjustRightInd w:val="0"/>
        <w:spacing w:after="0"/>
        <w:rPr>
          <w:rFonts w:ascii="Calibri" w:hAnsi="Calibri" w:cs="Arial"/>
          <w:bCs/>
          <w:color w:val="006001"/>
          <w:sz w:val="28"/>
          <w:szCs w:val="28"/>
        </w:rPr>
      </w:pPr>
    </w:p>
    <w:p w14:paraId="035D079A" w14:textId="77777777" w:rsidR="006E5C5F" w:rsidRPr="00EC52A2" w:rsidRDefault="006E5C5F" w:rsidP="006E5C5F">
      <w:pPr>
        <w:autoSpaceDE w:val="0"/>
        <w:autoSpaceDN w:val="0"/>
        <w:adjustRightInd w:val="0"/>
        <w:spacing w:after="0"/>
        <w:rPr>
          <w:rFonts w:ascii="Calibri" w:hAnsi="Calibri" w:cs="Arial"/>
          <w:b/>
          <w:bCs/>
          <w:color w:val="CC0000"/>
          <w:sz w:val="56"/>
          <w:szCs w:val="56"/>
        </w:rPr>
      </w:pPr>
      <w:r w:rsidRPr="00EC52A2">
        <w:rPr>
          <w:rFonts w:ascii="Calibri" w:hAnsi="Calibri" w:cs="Arial"/>
          <w:bCs/>
          <w:color w:val="CC0000"/>
          <w:sz w:val="28"/>
          <w:szCs w:val="28"/>
        </w:rPr>
        <w:t xml:space="preserve">The Gold Standard </w:t>
      </w:r>
    </w:p>
    <w:p w14:paraId="5120F350" w14:textId="516FD0E3" w:rsidR="006E5C5F" w:rsidRPr="00EC52A2" w:rsidRDefault="006E5C5F" w:rsidP="006E5C5F">
      <w:pPr>
        <w:autoSpaceDE w:val="0"/>
        <w:autoSpaceDN w:val="0"/>
        <w:adjustRightInd w:val="0"/>
        <w:spacing w:after="0"/>
        <w:rPr>
          <w:rFonts w:ascii="Calibri" w:hAnsi="Calibri" w:cs="Arial"/>
          <w:b/>
          <w:bCs/>
          <w:color w:val="CC0000"/>
          <w:sz w:val="72"/>
          <w:szCs w:val="72"/>
        </w:rPr>
      </w:pPr>
      <w:proofErr w:type="gramStart"/>
      <w:r w:rsidRPr="00EC52A2">
        <w:rPr>
          <w:rFonts w:ascii="Calibri" w:hAnsi="Calibri" w:cs="Arial"/>
          <w:b/>
          <w:bCs/>
          <w:color w:val="CC0000"/>
          <w:sz w:val="72"/>
          <w:szCs w:val="72"/>
        </w:rPr>
        <w:t xml:space="preserve">Double Counting Guideline </w:t>
      </w:r>
      <w:r w:rsidRPr="00EC52A2">
        <w:rPr>
          <w:rFonts w:ascii="Calibri" w:hAnsi="Calibri" w:cs="Arial"/>
          <w:bCs/>
          <w:color w:val="CC0000"/>
          <w:sz w:val="72"/>
          <w:szCs w:val="72"/>
        </w:rPr>
        <w:br/>
      </w:r>
      <w:r w:rsidRPr="00EC52A2">
        <w:rPr>
          <w:rFonts w:ascii="Calibri" w:hAnsi="Calibri" w:cs="Arial"/>
          <w:bCs/>
          <w:color w:val="CC0000"/>
          <w:sz w:val="28"/>
          <w:szCs w:val="28"/>
        </w:rPr>
        <w:t>………………………………….……………….</w:t>
      </w:r>
      <w:proofErr w:type="gramEnd"/>
      <w:r w:rsidRPr="00EC52A2">
        <w:rPr>
          <w:rFonts w:ascii="Calibri" w:hAnsi="Calibri" w:cs="Arial"/>
          <w:bCs/>
          <w:color w:val="CC0000"/>
          <w:sz w:val="28"/>
          <w:szCs w:val="28"/>
        </w:rPr>
        <w:t>.</w:t>
      </w:r>
    </w:p>
    <w:p w14:paraId="4ADBCB52" w14:textId="38254FA4" w:rsidR="006E5C5F" w:rsidRPr="00EC52A2" w:rsidRDefault="006E5C5F" w:rsidP="006E5C5F">
      <w:pPr>
        <w:pStyle w:val="Normal1"/>
        <w:spacing w:after="0"/>
        <w:contextualSpacing w:val="0"/>
        <w:rPr>
          <w:rFonts w:ascii="Calibri" w:hAnsi="Calibri" w:cs="Arial"/>
          <w:b/>
          <w:bCs/>
          <w:color w:val="7F7F7F" w:themeColor="text1" w:themeTint="80"/>
          <w:sz w:val="22"/>
          <w:szCs w:val="22"/>
        </w:rPr>
      </w:pPr>
      <w:r w:rsidRPr="00EC52A2">
        <w:rPr>
          <w:rFonts w:ascii="Calibri" w:hAnsi="Calibri" w:cs="Arial"/>
          <w:b/>
          <w:bCs/>
          <w:color w:val="7F7F7F" w:themeColor="text1" w:themeTint="80"/>
          <w:sz w:val="22"/>
          <w:szCs w:val="22"/>
        </w:rPr>
        <w:t>Scopes</w:t>
      </w:r>
      <w:r w:rsidRPr="00EC52A2">
        <w:rPr>
          <w:rFonts w:ascii="Calibri" w:hAnsi="Calibri" w:cs="Arial"/>
          <w:b/>
          <w:bCs/>
          <w:color w:val="7F7F7F" w:themeColor="text1" w:themeTint="80"/>
          <w:sz w:val="22"/>
          <w:szCs w:val="22"/>
        </w:rPr>
        <w:tab/>
      </w:r>
      <w:r w:rsidRPr="00EC52A2">
        <w:rPr>
          <w:rFonts w:ascii="Calibri" w:hAnsi="Calibri" w:cs="Arial"/>
          <w:b/>
          <w:bCs/>
          <w:color w:val="7F7F7F" w:themeColor="text1" w:themeTint="80"/>
          <w:sz w:val="22"/>
          <w:szCs w:val="22"/>
        </w:rPr>
        <w:tab/>
      </w:r>
      <w:r w:rsidRPr="00EC52A2">
        <w:rPr>
          <w:rFonts w:ascii="Calibri" w:hAnsi="Calibri" w:cs="Arial"/>
          <w:b/>
          <w:bCs/>
          <w:color w:val="7F7F7F" w:themeColor="text1" w:themeTint="80"/>
          <w:sz w:val="22"/>
          <w:szCs w:val="22"/>
        </w:rPr>
        <w:tab/>
      </w:r>
      <w:r w:rsidRPr="00EC52A2">
        <w:rPr>
          <w:rFonts w:ascii="Calibri" w:hAnsi="Calibri" w:cs="Arial"/>
          <w:b/>
          <w:bCs/>
          <w:color w:val="7F7F7F" w:themeColor="text1" w:themeTint="80"/>
          <w:sz w:val="22"/>
          <w:szCs w:val="22"/>
        </w:rPr>
        <w:tab/>
        <w:t>Land Use &amp; Forests, Energy &amp; Waste</w:t>
      </w:r>
      <w:r w:rsidRPr="00EC52A2">
        <w:rPr>
          <w:rFonts w:ascii="Calibri" w:hAnsi="Calibri" w:cs="Arial"/>
          <w:b/>
          <w:bCs/>
          <w:color w:val="7F7F7F" w:themeColor="text1" w:themeTint="80"/>
          <w:sz w:val="22"/>
          <w:szCs w:val="22"/>
        </w:rPr>
        <w:br/>
        <w:t>Version</w:t>
      </w:r>
      <w:r w:rsidRPr="00EC52A2">
        <w:rPr>
          <w:rFonts w:ascii="Calibri" w:hAnsi="Calibri" w:cs="Arial"/>
          <w:b/>
          <w:bCs/>
          <w:color w:val="7F7F7F" w:themeColor="text1" w:themeTint="80"/>
          <w:sz w:val="22"/>
          <w:szCs w:val="22"/>
        </w:rPr>
        <w:tab/>
      </w:r>
      <w:r w:rsidRPr="00EC52A2">
        <w:rPr>
          <w:rFonts w:ascii="Calibri" w:hAnsi="Calibri" w:cs="Arial"/>
          <w:b/>
          <w:bCs/>
          <w:color w:val="7F7F7F" w:themeColor="text1" w:themeTint="80"/>
          <w:sz w:val="22"/>
          <w:szCs w:val="22"/>
        </w:rPr>
        <w:tab/>
      </w:r>
      <w:r w:rsidRPr="00EC52A2">
        <w:rPr>
          <w:rFonts w:ascii="Calibri" w:hAnsi="Calibri" w:cs="Arial"/>
          <w:b/>
          <w:bCs/>
          <w:color w:val="7F7F7F" w:themeColor="text1" w:themeTint="80"/>
          <w:sz w:val="22"/>
          <w:szCs w:val="22"/>
        </w:rPr>
        <w:tab/>
      </w:r>
      <w:r w:rsidRPr="00EC52A2">
        <w:rPr>
          <w:rFonts w:ascii="Calibri" w:hAnsi="Calibri" w:cs="Arial"/>
          <w:b/>
          <w:bCs/>
          <w:color w:val="7F7F7F" w:themeColor="text1" w:themeTint="80"/>
          <w:sz w:val="22"/>
          <w:szCs w:val="22"/>
        </w:rPr>
        <w:tab/>
        <w:t xml:space="preserve">XX </w:t>
      </w:r>
      <w:r w:rsidRPr="00EC52A2">
        <w:rPr>
          <w:rFonts w:ascii="Calibri" w:hAnsi="Calibri" w:cs="Arial"/>
          <w:bCs/>
          <w:color w:val="CC0000"/>
          <w:sz w:val="22"/>
          <w:szCs w:val="22"/>
        </w:rPr>
        <w:t>[for TAC and Alignment Group to discuss and vote]</w:t>
      </w:r>
      <w:r w:rsidR="0023320E" w:rsidRPr="00EC52A2">
        <w:rPr>
          <w:rFonts w:ascii="Calibri" w:hAnsi="Calibri" w:cs="Arial"/>
          <w:b/>
          <w:bCs/>
          <w:color w:val="7F7F7F" w:themeColor="text1" w:themeTint="80"/>
          <w:sz w:val="22"/>
          <w:szCs w:val="22"/>
        </w:rPr>
        <w:br/>
        <w:t>Valid since</w:t>
      </w:r>
      <w:r w:rsidR="0023320E" w:rsidRPr="00EC52A2">
        <w:rPr>
          <w:rFonts w:ascii="Calibri" w:hAnsi="Calibri" w:cs="Arial"/>
          <w:b/>
          <w:bCs/>
          <w:color w:val="7F7F7F" w:themeColor="text1" w:themeTint="80"/>
          <w:sz w:val="22"/>
          <w:szCs w:val="22"/>
        </w:rPr>
        <w:tab/>
      </w:r>
      <w:r w:rsidR="0023320E" w:rsidRPr="00EC52A2">
        <w:rPr>
          <w:rFonts w:ascii="Calibri" w:hAnsi="Calibri" w:cs="Arial"/>
          <w:b/>
          <w:bCs/>
          <w:color w:val="7F7F7F" w:themeColor="text1" w:themeTint="80"/>
          <w:sz w:val="22"/>
          <w:szCs w:val="22"/>
        </w:rPr>
        <w:tab/>
      </w:r>
      <w:r w:rsidR="0023320E" w:rsidRPr="00EC52A2">
        <w:rPr>
          <w:rFonts w:ascii="Calibri" w:hAnsi="Calibri" w:cs="Arial"/>
          <w:b/>
          <w:bCs/>
          <w:color w:val="7F7F7F" w:themeColor="text1" w:themeTint="80"/>
          <w:sz w:val="22"/>
          <w:szCs w:val="22"/>
        </w:rPr>
        <w:tab/>
        <w:t>XX</w:t>
      </w:r>
      <w:r w:rsidRPr="00EC52A2">
        <w:rPr>
          <w:rFonts w:ascii="Calibri" w:hAnsi="Calibri" w:cs="Arial"/>
          <w:b/>
          <w:bCs/>
          <w:color w:val="7F7F7F" w:themeColor="text1" w:themeTint="80"/>
          <w:sz w:val="22"/>
          <w:szCs w:val="22"/>
        </w:rPr>
        <w:t xml:space="preserve"> 2015</w:t>
      </w:r>
    </w:p>
    <w:p w14:paraId="30D2B62D" w14:textId="77777777" w:rsidR="006E5C5F" w:rsidRPr="00EC52A2" w:rsidRDefault="006E5C5F" w:rsidP="006E5C5F">
      <w:pPr>
        <w:pStyle w:val="Normal1"/>
        <w:spacing w:after="0"/>
        <w:contextualSpacing w:val="0"/>
        <w:rPr>
          <w:rFonts w:ascii="Calibri" w:hAnsi="Calibri" w:cs="Arial"/>
          <w:b/>
          <w:bCs/>
          <w:color w:val="7F7F7F" w:themeColor="text1" w:themeTint="80"/>
          <w:sz w:val="22"/>
          <w:szCs w:val="22"/>
        </w:rPr>
      </w:pPr>
    </w:p>
    <w:p w14:paraId="58066658" w14:textId="1FF21076" w:rsidR="0063542F" w:rsidRPr="00EC52A2" w:rsidRDefault="0063542F" w:rsidP="0063542F">
      <w:pPr>
        <w:pStyle w:val="Normal1"/>
        <w:spacing w:after="0"/>
        <w:contextualSpacing w:val="0"/>
        <w:rPr>
          <w:rFonts w:ascii="Calibri" w:hAnsi="Calibri" w:cs="Arial"/>
          <w:bCs/>
          <w:color w:val="CC0000"/>
          <w:sz w:val="22"/>
          <w:szCs w:val="22"/>
        </w:rPr>
      </w:pPr>
      <w:r w:rsidRPr="00EC52A2">
        <w:rPr>
          <w:rFonts w:ascii="Calibri" w:hAnsi="Calibri" w:cs="Arial"/>
          <w:bCs/>
          <w:color w:val="CC0000"/>
          <w:sz w:val="22"/>
          <w:szCs w:val="22"/>
        </w:rPr>
        <w:t>This document lays out the Gold Standard rules in relation to potential Double Counting of GHG emissions reductions.  It is intended to provide Technical Advisory Committee (TAC) and Stakeholders with background information to the issue and to present the proposed rule change.</w:t>
      </w:r>
    </w:p>
    <w:p w14:paraId="08911F74" w14:textId="77777777" w:rsidR="0063542F" w:rsidRPr="00EC52A2" w:rsidRDefault="0063542F" w:rsidP="0063542F">
      <w:pPr>
        <w:pStyle w:val="Normal1"/>
        <w:spacing w:after="0"/>
        <w:contextualSpacing w:val="0"/>
        <w:rPr>
          <w:rFonts w:ascii="Calibri" w:hAnsi="Calibri" w:cs="Arial"/>
          <w:bCs/>
          <w:color w:val="CC0000"/>
          <w:sz w:val="22"/>
          <w:szCs w:val="22"/>
        </w:rPr>
      </w:pPr>
    </w:p>
    <w:p w14:paraId="65DF5464" w14:textId="77777777" w:rsidR="0023320E" w:rsidRPr="00EC52A2" w:rsidRDefault="0023320E" w:rsidP="0023320E">
      <w:pPr>
        <w:pStyle w:val="Normal1"/>
        <w:spacing w:after="0"/>
        <w:contextualSpacing w:val="0"/>
        <w:rPr>
          <w:rFonts w:ascii="Calibri" w:eastAsia="Calibri" w:hAnsi="Calibri" w:cs="Calibri"/>
          <w:sz w:val="22"/>
          <w:szCs w:val="22"/>
        </w:rPr>
      </w:pPr>
      <w:r w:rsidRPr="00EC52A2">
        <w:rPr>
          <w:rFonts w:ascii="Calibri" w:hAnsi="Calibri" w:cs="Arial"/>
          <w:bCs/>
          <w:color w:val="CC0000"/>
          <w:sz w:val="22"/>
          <w:szCs w:val="22"/>
        </w:rPr>
        <w:t>This paper applies to all Gold Standard scopes that involve the issuance of Voluntary Emissions Reductions (VERs) and is therefore an Alignment topic requiring the approval of Energy &amp; Waste (E&amp;W) and Land Use &amp; Forests (LU&amp;F) Subcommittees.  As an Alignment topic it will also be presented to the Water Subcommittee for information and comment prior to approval.  Alongside TAC review a public comment period will also be convened and feedback received shall contribute to the overall conclusion of the rule changes.</w:t>
      </w:r>
    </w:p>
    <w:p w14:paraId="2E254E20" w14:textId="77777777" w:rsidR="00FD256A" w:rsidRPr="00072C5A" w:rsidRDefault="00FD256A" w:rsidP="0063542F">
      <w:pPr>
        <w:pStyle w:val="Normal1"/>
        <w:spacing w:after="0"/>
        <w:contextualSpacing w:val="0"/>
        <w:rPr>
          <w:rFonts w:ascii="Calibri" w:eastAsia="Calibri" w:hAnsi="Calibri" w:cs="Calibri"/>
          <w:sz w:val="22"/>
          <w:szCs w:val="22"/>
        </w:rPr>
      </w:pPr>
    </w:p>
    <w:p w14:paraId="6832E98E" w14:textId="639CC33C" w:rsidR="00FD256A" w:rsidRPr="00072C5A" w:rsidRDefault="00FD256A" w:rsidP="0063542F">
      <w:pPr>
        <w:pStyle w:val="Normal1"/>
        <w:spacing w:after="0"/>
        <w:contextualSpacing w:val="0"/>
        <w:rPr>
          <w:rFonts w:ascii="Calibri" w:eastAsia="Calibri" w:hAnsi="Calibri" w:cs="Calibri"/>
          <w:sz w:val="22"/>
          <w:szCs w:val="22"/>
        </w:rPr>
      </w:pPr>
      <w:r w:rsidRPr="00072C5A">
        <w:rPr>
          <w:rFonts w:ascii="Calibri" w:eastAsia="Calibri" w:hAnsi="Calibri" w:cs="Calibri"/>
          <w:sz w:val="22"/>
          <w:szCs w:val="22"/>
        </w:rPr>
        <w:t>It is intended that the following issues will be addressed in introducing this guideline:</w:t>
      </w:r>
    </w:p>
    <w:p w14:paraId="68BE324E" w14:textId="77777777" w:rsidR="00FD256A" w:rsidRPr="00072C5A" w:rsidRDefault="00FD256A" w:rsidP="0063542F">
      <w:pPr>
        <w:pStyle w:val="Normal1"/>
        <w:spacing w:after="0"/>
        <w:contextualSpacing w:val="0"/>
        <w:rPr>
          <w:rFonts w:ascii="Calibri" w:eastAsia="Calibri" w:hAnsi="Calibri" w:cs="Calibri"/>
          <w:sz w:val="22"/>
          <w:szCs w:val="22"/>
        </w:rPr>
      </w:pPr>
    </w:p>
    <w:p w14:paraId="0FFABA07" w14:textId="1C339DA5" w:rsidR="00FD256A" w:rsidRPr="00072C5A" w:rsidRDefault="00FD256A" w:rsidP="00072C5A">
      <w:pPr>
        <w:pStyle w:val="Normal1"/>
        <w:numPr>
          <w:ilvl w:val="0"/>
          <w:numId w:val="39"/>
        </w:numPr>
        <w:spacing w:after="0"/>
        <w:contextualSpacing w:val="0"/>
        <w:rPr>
          <w:rFonts w:ascii="Calibri" w:eastAsia="Calibri" w:hAnsi="Calibri" w:cs="Calibri"/>
          <w:sz w:val="22"/>
          <w:szCs w:val="22"/>
        </w:rPr>
      </w:pPr>
      <w:r w:rsidRPr="00072C5A">
        <w:rPr>
          <w:rFonts w:ascii="Calibri" w:eastAsia="Calibri" w:hAnsi="Calibri" w:cs="Calibri"/>
          <w:sz w:val="22"/>
          <w:szCs w:val="22"/>
        </w:rPr>
        <w:t>Improve the practicality and flexibility of the existing E&amp;W rules while protecting the overall integrity of GS VERs.</w:t>
      </w:r>
    </w:p>
    <w:p w14:paraId="53310FAF" w14:textId="1C9ED3FE" w:rsidR="00FD256A" w:rsidRPr="00FD256A" w:rsidRDefault="005C49C5" w:rsidP="00072C5A">
      <w:pPr>
        <w:pStyle w:val="Normal1"/>
        <w:numPr>
          <w:ilvl w:val="0"/>
          <w:numId w:val="39"/>
        </w:numPr>
        <w:spacing w:after="0"/>
        <w:contextualSpacing w:val="0"/>
        <w:rPr>
          <w:rFonts w:ascii="Calibri" w:eastAsia="Calibri" w:hAnsi="Calibri" w:cs="Calibri"/>
          <w:sz w:val="22"/>
          <w:szCs w:val="22"/>
        </w:rPr>
      </w:pPr>
      <w:r>
        <w:rPr>
          <w:rFonts w:ascii="Calibri" w:eastAsia="Calibri" w:hAnsi="Calibri" w:cs="Calibri"/>
          <w:sz w:val="22"/>
          <w:szCs w:val="22"/>
        </w:rPr>
        <w:t>Formalise</w:t>
      </w:r>
      <w:r w:rsidR="00FD256A" w:rsidRPr="00072C5A">
        <w:rPr>
          <w:rFonts w:ascii="Calibri" w:eastAsia="Calibri" w:hAnsi="Calibri" w:cs="Calibri"/>
          <w:sz w:val="22"/>
          <w:szCs w:val="22"/>
        </w:rPr>
        <w:t xml:space="preserve"> the rule to LU&amp;F Scope in order to protect the integrity of GS VERs in this sector.</w:t>
      </w:r>
    </w:p>
    <w:p w14:paraId="300A1D53" w14:textId="77777777" w:rsidR="006E5C5F" w:rsidRPr="00EC52A2" w:rsidRDefault="006E5C5F" w:rsidP="006E5C5F">
      <w:pPr>
        <w:pStyle w:val="Normal1"/>
        <w:spacing w:after="0"/>
        <w:contextualSpacing w:val="0"/>
        <w:rPr>
          <w:rFonts w:ascii="Calibri" w:eastAsia="Calibri" w:hAnsi="Calibri" w:cs="Calibri"/>
          <w:b/>
          <w:sz w:val="22"/>
          <w:szCs w:val="22"/>
        </w:rPr>
      </w:pPr>
    </w:p>
    <w:p w14:paraId="0F13D864" w14:textId="77777777" w:rsidR="006E5C5F" w:rsidRPr="00EC52A2" w:rsidRDefault="006E5C5F" w:rsidP="006E5C5F">
      <w:pPr>
        <w:pStyle w:val="Normal1"/>
        <w:spacing w:after="0"/>
        <w:contextualSpacing w:val="0"/>
        <w:rPr>
          <w:rFonts w:ascii="Calibri" w:eastAsia="Calibri" w:hAnsi="Calibri" w:cs="Calibri"/>
          <w:b/>
          <w:sz w:val="22"/>
          <w:szCs w:val="22"/>
        </w:rPr>
      </w:pPr>
    </w:p>
    <w:p w14:paraId="770178D7" w14:textId="77777777" w:rsidR="009B4146" w:rsidRPr="00EC52A2" w:rsidRDefault="00052FA0" w:rsidP="006E5C5F">
      <w:pPr>
        <w:pStyle w:val="Normal1"/>
        <w:spacing w:after="0"/>
        <w:contextualSpacing w:val="0"/>
        <w:rPr>
          <w:rFonts w:ascii="Calibri" w:eastAsia="Calibri" w:hAnsi="Calibri" w:cs="Calibri"/>
          <w:b/>
          <w:sz w:val="22"/>
          <w:szCs w:val="22"/>
        </w:rPr>
      </w:pPr>
      <w:r w:rsidRPr="00EC52A2">
        <w:rPr>
          <w:rFonts w:ascii="Calibri" w:eastAsia="Calibri" w:hAnsi="Calibri" w:cs="Calibri"/>
          <w:b/>
          <w:sz w:val="22"/>
          <w:szCs w:val="22"/>
        </w:rPr>
        <w:t>EXECUTIVE SUMMARY</w:t>
      </w:r>
    </w:p>
    <w:p w14:paraId="771D09B3" w14:textId="77777777" w:rsidR="006E5C5F" w:rsidRPr="00EC52A2" w:rsidRDefault="006E5C5F" w:rsidP="006E5C5F">
      <w:pPr>
        <w:pStyle w:val="Normal1"/>
        <w:spacing w:after="0"/>
        <w:contextualSpacing w:val="0"/>
        <w:rPr>
          <w:rFonts w:ascii="Calibri" w:eastAsia="Calibri" w:hAnsi="Calibri" w:cs="Calibri"/>
          <w:sz w:val="22"/>
          <w:szCs w:val="22"/>
        </w:rPr>
      </w:pPr>
    </w:p>
    <w:p w14:paraId="0E840E99" w14:textId="527E31F9" w:rsidR="00DC3353" w:rsidRPr="00EC52A2" w:rsidRDefault="00DC3353" w:rsidP="006E5C5F">
      <w:pPr>
        <w:pStyle w:val="Normal1"/>
        <w:spacing w:after="0"/>
        <w:contextualSpacing w:val="0"/>
        <w:rPr>
          <w:rFonts w:ascii="Calibri" w:eastAsia="Calibri" w:hAnsi="Calibri" w:cs="Calibri"/>
          <w:sz w:val="22"/>
          <w:szCs w:val="22"/>
        </w:rPr>
      </w:pPr>
      <w:r w:rsidRPr="00EC52A2">
        <w:rPr>
          <w:rFonts w:ascii="Calibri" w:eastAsia="Calibri" w:hAnsi="Calibri" w:cs="Calibri"/>
          <w:sz w:val="22"/>
          <w:szCs w:val="22"/>
        </w:rPr>
        <w:t xml:space="preserve">Prior to 2013 the Kyoto Protocol provided for the management, accounting and reporting of </w:t>
      </w:r>
      <w:r w:rsidR="00FE6BD1" w:rsidRPr="00EC52A2">
        <w:rPr>
          <w:rFonts w:ascii="Calibri" w:eastAsia="Calibri" w:hAnsi="Calibri" w:cs="Calibri"/>
          <w:sz w:val="22"/>
          <w:szCs w:val="22"/>
        </w:rPr>
        <w:t>green</w:t>
      </w:r>
      <w:r w:rsidRPr="00EC52A2">
        <w:rPr>
          <w:rFonts w:ascii="Calibri" w:eastAsia="Calibri" w:hAnsi="Calibri" w:cs="Calibri"/>
          <w:sz w:val="22"/>
          <w:szCs w:val="22"/>
        </w:rPr>
        <w:t>house gases across the international community.</w:t>
      </w:r>
      <w:r w:rsidR="007735A9" w:rsidRPr="00EC52A2">
        <w:rPr>
          <w:rFonts w:ascii="Calibri" w:eastAsia="Calibri" w:hAnsi="Calibri" w:cs="Calibri"/>
          <w:sz w:val="22"/>
          <w:szCs w:val="22"/>
        </w:rPr>
        <w:t xml:space="preserve">  While the EU continues to base it</w:t>
      </w:r>
      <w:r w:rsidR="006E5C5F" w:rsidRPr="00EC52A2">
        <w:rPr>
          <w:rFonts w:ascii="Calibri" w:eastAsia="Calibri" w:hAnsi="Calibri" w:cs="Calibri"/>
          <w:sz w:val="22"/>
          <w:szCs w:val="22"/>
        </w:rPr>
        <w:t>’</w:t>
      </w:r>
      <w:r w:rsidR="007735A9" w:rsidRPr="00EC52A2">
        <w:rPr>
          <w:rFonts w:ascii="Calibri" w:eastAsia="Calibri" w:hAnsi="Calibri" w:cs="Calibri"/>
          <w:sz w:val="22"/>
          <w:szCs w:val="22"/>
        </w:rPr>
        <w:t>s accounting on Kyoto generally</w:t>
      </w:r>
      <w:r w:rsidR="00B1247E" w:rsidRPr="00EC52A2">
        <w:rPr>
          <w:rFonts w:ascii="Calibri" w:eastAsia="Calibri" w:hAnsi="Calibri" w:cs="Calibri"/>
          <w:sz w:val="22"/>
          <w:szCs w:val="22"/>
        </w:rPr>
        <w:t xml:space="preserve"> </w:t>
      </w:r>
      <w:r w:rsidRPr="00EC52A2">
        <w:rPr>
          <w:rFonts w:ascii="Calibri" w:eastAsia="Calibri" w:hAnsi="Calibri" w:cs="Calibri"/>
          <w:sz w:val="22"/>
          <w:szCs w:val="22"/>
        </w:rPr>
        <w:t xml:space="preserve">the international approach and the markets that serve them have become increasingly fragmented and unregulated.  It appears very likely that for the period </w:t>
      </w:r>
      <w:r w:rsidR="006E5C5F" w:rsidRPr="00EC52A2">
        <w:rPr>
          <w:rFonts w:ascii="Calibri" w:eastAsia="Calibri" w:hAnsi="Calibri" w:cs="Calibri"/>
          <w:sz w:val="22"/>
          <w:szCs w:val="22"/>
        </w:rPr>
        <w:t xml:space="preserve">until </w:t>
      </w:r>
      <w:r w:rsidRPr="00EC52A2">
        <w:rPr>
          <w:rFonts w:ascii="Calibri" w:eastAsia="Calibri" w:hAnsi="Calibri" w:cs="Calibri"/>
          <w:sz w:val="22"/>
          <w:szCs w:val="22"/>
        </w:rPr>
        <w:t xml:space="preserve">2020 </w:t>
      </w:r>
      <w:r w:rsidR="008A7CBD" w:rsidRPr="00EC52A2">
        <w:rPr>
          <w:rFonts w:ascii="Calibri" w:eastAsia="Calibri" w:hAnsi="Calibri" w:cs="Calibri"/>
          <w:sz w:val="22"/>
          <w:szCs w:val="22"/>
        </w:rPr>
        <w:t xml:space="preserve">and potentially beyond, </w:t>
      </w:r>
      <w:r w:rsidRPr="00EC52A2">
        <w:rPr>
          <w:rFonts w:ascii="Calibri" w:eastAsia="Calibri" w:hAnsi="Calibri" w:cs="Calibri"/>
          <w:sz w:val="22"/>
          <w:szCs w:val="22"/>
        </w:rPr>
        <w:t>this state of uncertainty will remain.</w:t>
      </w:r>
    </w:p>
    <w:p w14:paraId="148ED539" w14:textId="77777777" w:rsidR="006E5C5F" w:rsidRPr="00EC52A2" w:rsidRDefault="006E5C5F" w:rsidP="006E5C5F">
      <w:pPr>
        <w:pStyle w:val="Normal1"/>
        <w:spacing w:after="0"/>
        <w:contextualSpacing w:val="0"/>
        <w:rPr>
          <w:rFonts w:ascii="Calibri" w:eastAsia="Calibri" w:hAnsi="Calibri" w:cs="Calibri"/>
          <w:sz w:val="22"/>
          <w:szCs w:val="22"/>
        </w:rPr>
      </w:pPr>
    </w:p>
    <w:p w14:paraId="56A0494D" w14:textId="6B9B5E1E" w:rsidR="00DC3353" w:rsidRPr="00EC52A2" w:rsidRDefault="008A7CBD" w:rsidP="006E5C5F">
      <w:pPr>
        <w:pStyle w:val="Normal1"/>
        <w:spacing w:after="0"/>
        <w:contextualSpacing w:val="0"/>
        <w:rPr>
          <w:rFonts w:ascii="Calibri" w:eastAsia="Calibri" w:hAnsi="Calibri" w:cs="Calibri"/>
          <w:sz w:val="22"/>
          <w:szCs w:val="22"/>
        </w:rPr>
      </w:pPr>
      <w:r w:rsidRPr="00EC52A2">
        <w:rPr>
          <w:rFonts w:ascii="Calibri" w:eastAsia="Calibri" w:hAnsi="Calibri" w:cs="Calibri"/>
          <w:sz w:val="22"/>
          <w:szCs w:val="22"/>
        </w:rPr>
        <w:t xml:space="preserve">In the absence of a robust </w:t>
      </w:r>
      <w:r w:rsidR="00DC3353" w:rsidRPr="00EC52A2">
        <w:rPr>
          <w:rFonts w:ascii="Calibri" w:eastAsia="Calibri" w:hAnsi="Calibri" w:cs="Calibri"/>
          <w:sz w:val="22"/>
          <w:szCs w:val="22"/>
        </w:rPr>
        <w:t>global architecture the possibility for double counting of emissions reductions exists.  It is therefore critical to the authority and reputation of the Go</w:t>
      </w:r>
      <w:r w:rsidR="001B6541" w:rsidRPr="00EC52A2">
        <w:rPr>
          <w:rFonts w:ascii="Calibri" w:eastAsia="Calibri" w:hAnsi="Calibri" w:cs="Calibri"/>
          <w:sz w:val="22"/>
          <w:szCs w:val="22"/>
        </w:rPr>
        <w:t>ld Standard that a rule</w:t>
      </w:r>
      <w:r w:rsidR="007735A9" w:rsidRPr="00EC52A2">
        <w:rPr>
          <w:rFonts w:ascii="Calibri" w:eastAsia="Calibri" w:hAnsi="Calibri" w:cs="Calibri"/>
          <w:sz w:val="22"/>
          <w:szCs w:val="22"/>
        </w:rPr>
        <w:t>/</w:t>
      </w:r>
      <w:r w:rsidR="001B6541" w:rsidRPr="00EC52A2">
        <w:rPr>
          <w:rFonts w:ascii="Calibri" w:eastAsia="Calibri" w:hAnsi="Calibri" w:cs="Calibri"/>
          <w:sz w:val="22"/>
          <w:szCs w:val="22"/>
        </w:rPr>
        <w:t xml:space="preserve">process is provided </w:t>
      </w:r>
      <w:r w:rsidR="00DC3353" w:rsidRPr="00EC52A2">
        <w:rPr>
          <w:rFonts w:ascii="Calibri" w:eastAsia="Calibri" w:hAnsi="Calibri" w:cs="Calibri"/>
          <w:sz w:val="22"/>
          <w:szCs w:val="22"/>
        </w:rPr>
        <w:t>to guard against this.  In line with the principles and spirit of the Gold Standard the new approach must be of the highest rigour and transparency and remove any doubt as to the possibility of double counting where Gold Standard VER</w:t>
      </w:r>
      <w:r w:rsidR="006E5C5F" w:rsidRPr="00EC52A2">
        <w:rPr>
          <w:rFonts w:ascii="Calibri" w:eastAsia="Calibri" w:hAnsi="Calibri" w:cs="Calibri"/>
          <w:sz w:val="22"/>
          <w:szCs w:val="22"/>
        </w:rPr>
        <w:t>s/CO</w:t>
      </w:r>
      <w:r w:rsidR="006E5C5F" w:rsidRPr="00EC52A2">
        <w:rPr>
          <w:rFonts w:ascii="Calibri" w:eastAsia="Calibri" w:hAnsi="Calibri" w:cs="Calibri"/>
          <w:sz w:val="18"/>
          <w:szCs w:val="22"/>
        </w:rPr>
        <w:t>2</w:t>
      </w:r>
      <w:r w:rsidR="006E5C5F" w:rsidRPr="00EC52A2">
        <w:rPr>
          <w:rFonts w:ascii="Calibri" w:eastAsia="Calibri" w:hAnsi="Calibri" w:cs="Calibri"/>
          <w:sz w:val="22"/>
          <w:szCs w:val="22"/>
        </w:rPr>
        <w:t>-certific</w:t>
      </w:r>
      <w:r w:rsidR="003165F4" w:rsidRPr="00EC52A2">
        <w:rPr>
          <w:rFonts w:ascii="Calibri" w:eastAsia="Calibri" w:hAnsi="Calibri" w:cs="Calibri"/>
          <w:sz w:val="22"/>
          <w:szCs w:val="22"/>
        </w:rPr>
        <w:t>a</w:t>
      </w:r>
      <w:r w:rsidR="006E5C5F" w:rsidRPr="00EC52A2">
        <w:rPr>
          <w:rFonts w:ascii="Calibri" w:eastAsia="Calibri" w:hAnsi="Calibri" w:cs="Calibri"/>
          <w:sz w:val="22"/>
          <w:szCs w:val="22"/>
        </w:rPr>
        <w:t>tes are</w:t>
      </w:r>
      <w:r w:rsidR="00DC3353" w:rsidRPr="00EC52A2">
        <w:rPr>
          <w:rFonts w:ascii="Calibri" w:eastAsia="Calibri" w:hAnsi="Calibri" w:cs="Calibri"/>
          <w:sz w:val="22"/>
          <w:szCs w:val="22"/>
        </w:rPr>
        <w:t xml:space="preserve"> involved.</w:t>
      </w:r>
    </w:p>
    <w:p w14:paraId="4696AA32" w14:textId="77777777" w:rsidR="006E5C5F" w:rsidRPr="00EC52A2" w:rsidRDefault="006E5C5F" w:rsidP="006E5C5F">
      <w:pPr>
        <w:pStyle w:val="Normal1"/>
        <w:spacing w:after="0"/>
        <w:contextualSpacing w:val="0"/>
        <w:rPr>
          <w:rFonts w:ascii="Calibri" w:eastAsia="Calibri" w:hAnsi="Calibri" w:cs="Calibri"/>
          <w:sz w:val="22"/>
          <w:szCs w:val="22"/>
        </w:rPr>
      </w:pPr>
    </w:p>
    <w:p w14:paraId="06DE346D" w14:textId="648E3E60" w:rsidR="00DC3353" w:rsidRPr="00EC52A2" w:rsidRDefault="007735A9" w:rsidP="006E5C5F">
      <w:pPr>
        <w:pStyle w:val="Normal1"/>
        <w:spacing w:after="0"/>
        <w:contextualSpacing w:val="0"/>
        <w:rPr>
          <w:rFonts w:ascii="Calibri" w:eastAsia="Calibri" w:hAnsi="Calibri" w:cs="Calibri"/>
          <w:sz w:val="22"/>
          <w:szCs w:val="22"/>
        </w:rPr>
      </w:pPr>
      <w:r w:rsidRPr="00EC52A2">
        <w:rPr>
          <w:rFonts w:ascii="Calibri" w:eastAsia="Calibri" w:hAnsi="Calibri" w:cs="Calibri"/>
          <w:sz w:val="22"/>
          <w:szCs w:val="22"/>
        </w:rPr>
        <w:t xml:space="preserve">It remains uncertain how this situation will change but wherever VERs are issued by a project within an affected host country </w:t>
      </w:r>
      <w:r w:rsidR="003165F4" w:rsidRPr="00EC52A2">
        <w:rPr>
          <w:rFonts w:ascii="Calibri" w:eastAsia="Calibri" w:hAnsi="Calibri" w:cs="Calibri"/>
          <w:sz w:val="22"/>
          <w:szCs w:val="22"/>
        </w:rPr>
        <w:t xml:space="preserve">or region </w:t>
      </w:r>
      <w:r w:rsidRPr="00EC52A2">
        <w:rPr>
          <w:rFonts w:ascii="Calibri" w:eastAsia="Calibri" w:hAnsi="Calibri" w:cs="Calibri"/>
          <w:sz w:val="22"/>
          <w:szCs w:val="22"/>
        </w:rPr>
        <w:t>this will remain an issue.</w:t>
      </w:r>
      <w:r w:rsidR="00DC3353" w:rsidRPr="00EC52A2">
        <w:rPr>
          <w:rFonts w:ascii="Calibri" w:eastAsia="Calibri" w:hAnsi="Calibri" w:cs="Calibri"/>
          <w:sz w:val="22"/>
          <w:szCs w:val="22"/>
        </w:rPr>
        <w:t xml:space="preserve">  </w:t>
      </w:r>
      <w:r w:rsidR="0063542F" w:rsidRPr="00EC52A2">
        <w:rPr>
          <w:rFonts w:ascii="Calibri" w:eastAsia="Calibri" w:hAnsi="Calibri" w:cs="Calibri"/>
          <w:sz w:val="22"/>
          <w:szCs w:val="22"/>
        </w:rPr>
        <w:t>This guideline does not</w:t>
      </w:r>
      <w:r w:rsidR="001B6541" w:rsidRPr="00EC52A2">
        <w:rPr>
          <w:rFonts w:ascii="Calibri" w:eastAsia="Calibri" w:hAnsi="Calibri" w:cs="Calibri"/>
          <w:sz w:val="22"/>
          <w:szCs w:val="22"/>
        </w:rPr>
        <w:t xml:space="preserve"> affect other Gold Standard products such as labelling of CERs or Water Benefit Certificates.</w:t>
      </w:r>
    </w:p>
    <w:p w14:paraId="56CAA639" w14:textId="77777777" w:rsidR="006E5C5F" w:rsidRPr="00EC52A2" w:rsidRDefault="006E5C5F" w:rsidP="006E5C5F">
      <w:pPr>
        <w:spacing w:after="0"/>
        <w:rPr>
          <w:rFonts w:ascii="Calibri" w:eastAsia="Calibri" w:hAnsi="Calibri" w:cs="Calibri"/>
          <w:b/>
          <w:sz w:val="22"/>
          <w:szCs w:val="22"/>
        </w:rPr>
      </w:pPr>
      <w:r w:rsidRPr="00EC52A2">
        <w:rPr>
          <w:rFonts w:ascii="Calibri" w:eastAsia="Calibri" w:hAnsi="Calibri" w:cs="Calibri"/>
          <w:b/>
          <w:sz w:val="22"/>
          <w:szCs w:val="22"/>
        </w:rPr>
        <w:br w:type="page"/>
      </w:r>
    </w:p>
    <w:p w14:paraId="567E96A9" w14:textId="263812B8" w:rsidR="008029E5" w:rsidRPr="00EC52A2" w:rsidRDefault="003165F4" w:rsidP="006E5C5F">
      <w:pPr>
        <w:pStyle w:val="Normal1"/>
        <w:spacing w:after="0"/>
        <w:contextualSpacing w:val="0"/>
        <w:rPr>
          <w:rFonts w:ascii="Calibri" w:eastAsia="Calibri" w:hAnsi="Calibri" w:cs="Calibri"/>
          <w:b/>
          <w:sz w:val="22"/>
          <w:szCs w:val="22"/>
        </w:rPr>
      </w:pPr>
      <w:r w:rsidRPr="00EC52A2">
        <w:rPr>
          <w:rFonts w:ascii="Calibri" w:eastAsia="Calibri" w:hAnsi="Calibri" w:cs="Calibri"/>
          <w:b/>
          <w:sz w:val="22"/>
          <w:szCs w:val="22"/>
        </w:rPr>
        <w:lastRenderedPageBreak/>
        <w:br/>
      </w:r>
      <w:r w:rsidR="008029E5" w:rsidRPr="00EC52A2">
        <w:rPr>
          <w:rFonts w:ascii="Calibri" w:eastAsia="Calibri" w:hAnsi="Calibri" w:cs="Calibri"/>
          <w:b/>
          <w:sz w:val="22"/>
          <w:szCs w:val="22"/>
        </w:rPr>
        <w:t>CONTENTS</w:t>
      </w:r>
      <w:r w:rsidRPr="00EC52A2">
        <w:rPr>
          <w:rFonts w:ascii="Calibri" w:eastAsia="Calibri" w:hAnsi="Calibri" w:cs="Calibri"/>
          <w:b/>
          <w:sz w:val="22"/>
          <w:szCs w:val="22"/>
        </w:rPr>
        <w:br/>
      </w:r>
    </w:p>
    <w:p w14:paraId="5166B9C5" w14:textId="5B601BD2" w:rsidR="008029E5" w:rsidRPr="00EC52A2" w:rsidRDefault="0023320E" w:rsidP="006E5C5F">
      <w:pPr>
        <w:pStyle w:val="Normal1"/>
        <w:numPr>
          <w:ilvl w:val="0"/>
          <w:numId w:val="11"/>
        </w:numPr>
        <w:spacing w:after="0"/>
        <w:contextualSpacing w:val="0"/>
        <w:rPr>
          <w:rFonts w:ascii="Calibri" w:eastAsia="Calibri" w:hAnsi="Calibri" w:cs="Calibri"/>
          <w:sz w:val="22"/>
          <w:szCs w:val="22"/>
        </w:rPr>
      </w:pPr>
      <w:r w:rsidRPr="00EC52A2">
        <w:rPr>
          <w:rFonts w:ascii="Calibri" w:eastAsia="Calibri" w:hAnsi="Calibri" w:cs="Calibri"/>
          <w:sz w:val="22"/>
          <w:szCs w:val="22"/>
        </w:rPr>
        <w:t>Introduction</w:t>
      </w:r>
    </w:p>
    <w:p w14:paraId="6CF19561" w14:textId="77777777" w:rsidR="002B02D0" w:rsidRPr="00EC52A2" w:rsidRDefault="002B02D0" w:rsidP="006E5C5F">
      <w:pPr>
        <w:pStyle w:val="Normal1"/>
        <w:numPr>
          <w:ilvl w:val="0"/>
          <w:numId w:val="11"/>
        </w:numPr>
        <w:spacing w:after="0"/>
        <w:contextualSpacing w:val="0"/>
        <w:rPr>
          <w:rFonts w:ascii="Calibri" w:eastAsia="Calibri" w:hAnsi="Calibri" w:cs="Calibri"/>
          <w:sz w:val="22"/>
          <w:szCs w:val="22"/>
        </w:rPr>
      </w:pPr>
      <w:r w:rsidRPr="00EC52A2">
        <w:rPr>
          <w:rFonts w:ascii="Calibri" w:eastAsia="Calibri" w:hAnsi="Calibri" w:cs="Calibri"/>
          <w:sz w:val="22"/>
          <w:szCs w:val="22"/>
        </w:rPr>
        <w:t>Definitions</w:t>
      </w:r>
    </w:p>
    <w:p w14:paraId="0AFC89C7" w14:textId="7A01CFF1" w:rsidR="002B02D0" w:rsidRPr="00EC52A2" w:rsidRDefault="00F15AA0" w:rsidP="006E5C5F">
      <w:pPr>
        <w:pStyle w:val="Normal1"/>
        <w:numPr>
          <w:ilvl w:val="0"/>
          <w:numId w:val="11"/>
        </w:numPr>
        <w:spacing w:after="0"/>
        <w:contextualSpacing w:val="0"/>
        <w:rPr>
          <w:rFonts w:ascii="Calibri" w:eastAsia="Calibri" w:hAnsi="Calibri" w:cs="Calibri"/>
          <w:sz w:val="22"/>
          <w:szCs w:val="22"/>
        </w:rPr>
      </w:pPr>
      <w:r>
        <w:rPr>
          <w:rFonts w:ascii="Calibri" w:eastAsia="Calibri" w:hAnsi="Calibri" w:cs="Calibri"/>
          <w:sz w:val="22"/>
          <w:szCs w:val="22"/>
        </w:rPr>
        <w:t>Applicability/Scope</w:t>
      </w:r>
    </w:p>
    <w:p w14:paraId="0F715424" w14:textId="470B0CF1" w:rsidR="002B02D0" w:rsidRDefault="00F15AA0" w:rsidP="006E5C5F">
      <w:pPr>
        <w:pStyle w:val="Normal1"/>
        <w:numPr>
          <w:ilvl w:val="0"/>
          <w:numId w:val="11"/>
        </w:numPr>
        <w:spacing w:after="0"/>
        <w:contextualSpacing w:val="0"/>
        <w:rPr>
          <w:rFonts w:ascii="Calibri" w:eastAsia="Calibri" w:hAnsi="Calibri" w:cs="Calibri"/>
          <w:sz w:val="22"/>
          <w:szCs w:val="22"/>
        </w:rPr>
      </w:pPr>
      <w:r>
        <w:rPr>
          <w:rFonts w:ascii="Calibri" w:eastAsia="Calibri" w:hAnsi="Calibri" w:cs="Calibri"/>
          <w:sz w:val="22"/>
          <w:szCs w:val="22"/>
        </w:rPr>
        <w:t>Requirements</w:t>
      </w:r>
    </w:p>
    <w:p w14:paraId="75D25A56" w14:textId="21E08CAE" w:rsidR="00E2220A" w:rsidRPr="00EC52A2" w:rsidRDefault="00E2220A" w:rsidP="006E5C5F">
      <w:pPr>
        <w:pStyle w:val="Normal1"/>
        <w:numPr>
          <w:ilvl w:val="0"/>
          <w:numId w:val="11"/>
        </w:numPr>
        <w:spacing w:after="0"/>
        <w:contextualSpacing w:val="0"/>
        <w:rPr>
          <w:rFonts w:ascii="Calibri" w:eastAsia="Calibri" w:hAnsi="Calibri" w:cs="Calibri"/>
          <w:sz w:val="22"/>
          <w:szCs w:val="22"/>
        </w:rPr>
      </w:pPr>
      <w:r>
        <w:rPr>
          <w:rFonts w:ascii="Calibri" w:eastAsia="Calibri" w:hAnsi="Calibri" w:cs="Calibri"/>
          <w:sz w:val="22"/>
          <w:szCs w:val="22"/>
        </w:rPr>
        <w:t>Procedures</w:t>
      </w:r>
    </w:p>
    <w:p w14:paraId="52C278C9" w14:textId="0DFC4EF9" w:rsidR="001B6541" w:rsidRPr="00EC52A2" w:rsidRDefault="001B6541" w:rsidP="006E5C5F">
      <w:pPr>
        <w:pStyle w:val="Normal1"/>
        <w:numPr>
          <w:ilvl w:val="0"/>
          <w:numId w:val="11"/>
        </w:numPr>
        <w:spacing w:after="0"/>
        <w:contextualSpacing w:val="0"/>
        <w:rPr>
          <w:rFonts w:ascii="Calibri" w:eastAsia="Calibri" w:hAnsi="Calibri" w:cs="Calibri"/>
          <w:sz w:val="22"/>
          <w:szCs w:val="22"/>
        </w:rPr>
      </w:pPr>
      <w:r w:rsidRPr="00EC52A2">
        <w:rPr>
          <w:rFonts w:ascii="Calibri" w:eastAsia="Calibri" w:hAnsi="Calibri" w:cs="Calibri"/>
          <w:sz w:val="22"/>
          <w:szCs w:val="22"/>
        </w:rPr>
        <w:t xml:space="preserve">Implications </w:t>
      </w:r>
    </w:p>
    <w:p w14:paraId="127A1611" w14:textId="11731093" w:rsidR="00E2220A" w:rsidRPr="00EC52A2" w:rsidRDefault="003165F4" w:rsidP="00072C5A">
      <w:pPr>
        <w:pStyle w:val="Normal1"/>
        <w:spacing w:after="0"/>
        <w:ind w:left="1440"/>
        <w:contextualSpacing w:val="0"/>
      </w:pPr>
      <w:r w:rsidRPr="00EC52A2">
        <w:rPr>
          <w:rFonts w:ascii="Calibri" w:eastAsia="Calibri" w:hAnsi="Calibri" w:cs="Calibri"/>
          <w:sz w:val="22"/>
          <w:szCs w:val="22"/>
        </w:rPr>
        <w:br/>
      </w:r>
    </w:p>
    <w:p w14:paraId="6100286E" w14:textId="77777777" w:rsidR="003165F4" w:rsidRPr="00EC52A2" w:rsidRDefault="003165F4" w:rsidP="003165F4">
      <w:pPr>
        <w:pStyle w:val="Normal1"/>
        <w:spacing w:after="0"/>
        <w:contextualSpacing w:val="0"/>
        <w:rPr>
          <w:rFonts w:ascii="Calibri" w:eastAsia="Calibri" w:hAnsi="Calibri" w:cs="Calibri"/>
          <w:b/>
          <w:sz w:val="22"/>
          <w:szCs w:val="22"/>
        </w:rPr>
      </w:pPr>
    </w:p>
    <w:p w14:paraId="192C6F46" w14:textId="5107203C" w:rsidR="00052FA0" w:rsidRPr="00EC52A2" w:rsidRDefault="00052FA0" w:rsidP="006E5C5F">
      <w:pPr>
        <w:pStyle w:val="Normal1"/>
        <w:numPr>
          <w:ilvl w:val="0"/>
          <w:numId w:val="1"/>
        </w:numPr>
        <w:spacing w:after="0"/>
        <w:contextualSpacing w:val="0"/>
        <w:rPr>
          <w:rFonts w:ascii="Calibri" w:eastAsia="Calibri" w:hAnsi="Calibri" w:cs="Calibri"/>
          <w:b/>
          <w:sz w:val="22"/>
          <w:szCs w:val="22"/>
        </w:rPr>
      </w:pPr>
      <w:r w:rsidRPr="00EC52A2">
        <w:rPr>
          <w:rFonts w:ascii="Calibri" w:eastAsia="Calibri" w:hAnsi="Calibri" w:cs="Calibri"/>
          <w:b/>
          <w:sz w:val="22"/>
          <w:szCs w:val="22"/>
        </w:rPr>
        <w:t>INTRODUCTION</w:t>
      </w:r>
      <w:r w:rsidR="003165F4" w:rsidRPr="00EC52A2">
        <w:rPr>
          <w:rFonts w:ascii="Calibri" w:eastAsia="Calibri" w:hAnsi="Calibri" w:cs="Calibri"/>
          <w:b/>
          <w:sz w:val="22"/>
          <w:szCs w:val="22"/>
        </w:rPr>
        <w:br/>
      </w:r>
    </w:p>
    <w:p w14:paraId="4ABF7CD8" w14:textId="690566FE" w:rsidR="004E34F5" w:rsidRPr="00EC52A2" w:rsidRDefault="00052FA0" w:rsidP="006E5C5F">
      <w:pPr>
        <w:pStyle w:val="Normal1"/>
        <w:spacing w:after="0"/>
        <w:contextualSpacing w:val="0"/>
        <w:rPr>
          <w:rFonts w:ascii="Calibri" w:eastAsia="Calibri" w:hAnsi="Calibri" w:cs="Calibri"/>
          <w:sz w:val="22"/>
          <w:szCs w:val="22"/>
        </w:rPr>
      </w:pPr>
      <w:r w:rsidRPr="00EC52A2">
        <w:rPr>
          <w:rFonts w:ascii="Calibri" w:eastAsia="Calibri" w:hAnsi="Calibri" w:cs="Calibri"/>
          <w:sz w:val="22"/>
          <w:szCs w:val="22"/>
        </w:rPr>
        <w:t xml:space="preserve">The </w:t>
      </w:r>
      <w:r w:rsidR="002B02D0" w:rsidRPr="00EC52A2">
        <w:rPr>
          <w:rFonts w:ascii="Calibri" w:eastAsia="Calibri" w:hAnsi="Calibri" w:cs="Calibri"/>
          <w:sz w:val="22"/>
          <w:szCs w:val="22"/>
        </w:rPr>
        <w:t>rule change is</w:t>
      </w:r>
      <w:r w:rsidRPr="00EC52A2">
        <w:rPr>
          <w:rFonts w:ascii="Calibri" w:eastAsia="Calibri" w:hAnsi="Calibri" w:cs="Calibri"/>
          <w:sz w:val="22"/>
          <w:szCs w:val="22"/>
        </w:rPr>
        <w:t xml:space="preserve"> intended to apply </w:t>
      </w:r>
      <w:r w:rsidR="00CD22CF" w:rsidRPr="00EC52A2">
        <w:rPr>
          <w:rFonts w:ascii="Calibri" w:eastAsia="Calibri" w:hAnsi="Calibri" w:cs="Calibri"/>
          <w:sz w:val="22"/>
          <w:szCs w:val="22"/>
        </w:rPr>
        <w:t>where the potential exists for Double Counti</w:t>
      </w:r>
      <w:r w:rsidR="009F1C08" w:rsidRPr="00EC52A2">
        <w:rPr>
          <w:rFonts w:ascii="Calibri" w:eastAsia="Calibri" w:hAnsi="Calibri" w:cs="Calibri"/>
          <w:sz w:val="22"/>
          <w:szCs w:val="22"/>
        </w:rPr>
        <w:t xml:space="preserve">ng </w:t>
      </w:r>
      <w:r w:rsidR="00617F14" w:rsidRPr="00EC52A2">
        <w:rPr>
          <w:rFonts w:ascii="Calibri" w:eastAsia="Calibri" w:hAnsi="Calibri" w:cs="Calibri"/>
          <w:sz w:val="22"/>
          <w:szCs w:val="22"/>
        </w:rPr>
        <w:t xml:space="preserve">due to issuance of </w:t>
      </w:r>
      <w:r w:rsidR="002B02D0" w:rsidRPr="00EC52A2">
        <w:rPr>
          <w:rFonts w:ascii="Calibri" w:eastAsia="Calibri" w:hAnsi="Calibri" w:cs="Calibri"/>
          <w:sz w:val="22"/>
          <w:szCs w:val="22"/>
        </w:rPr>
        <w:t>Gold Standard VERs</w:t>
      </w:r>
      <w:r w:rsidR="00B42413" w:rsidRPr="00EC52A2">
        <w:rPr>
          <w:rFonts w:ascii="Calibri" w:eastAsia="Calibri" w:hAnsi="Calibri" w:cs="Calibri"/>
          <w:sz w:val="22"/>
          <w:szCs w:val="22"/>
        </w:rPr>
        <w:t>/CO</w:t>
      </w:r>
      <w:r w:rsidR="00B42413" w:rsidRPr="00EC52A2">
        <w:rPr>
          <w:rFonts w:ascii="Calibri" w:eastAsia="Calibri" w:hAnsi="Calibri" w:cs="Calibri"/>
          <w:sz w:val="18"/>
          <w:szCs w:val="22"/>
        </w:rPr>
        <w:t>2</w:t>
      </w:r>
      <w:r w:rsidR="00B42413" w:rsidRPr="00EC52A2">
        <w:rPr>
          <w:rFonts w:ascii="Calibri" w:eastAsia="Calibri" w:hAnsi="Calibri" w:cs="Calibri"/>
          <w:sz w:val="22"/>
          <w:szCs w:val="22"/>
        </w:rPr>
        <w:t>-certificates</w:t>
      </w:r>
      <w:r w:rsidR="00CD22CF" w:rsidRPr="00EC52A2">
        <w:rPr>
          <w:rFonts w:ascii="Calibri" w:eastAsia="Calibri" w:hAnsi="Calibri" w:cs="Calibri"/>
          <w:sz w:val="22"/>
          <w:szCs w:val="22"/>
        </w:rPr>
        <w:t>.</w:t>
      </w:r>
      <w:r w:rsidR="002B02D0" w:rsidRPr="00EC52A2">
        <w:rPr>
          <w:rFonts w:ascii="Calibri" w:eastAsia="Calibri" w:hAnsi="Calibri" w:cs="Calibri"/>
          <w:sz w:val="22"/>
          <w:szCs w:val="22"/>
        </w:rPr>
        <w:t xml:space="preserve">  It is intended to protect </w:t>
      </w:r>
      <w:r w:rsidRPr="00EC52A2">
        <w:rPr>
          <w:rFonts w:ascii="Calibri" w:eastAsia="Calibri" w:hAnsi="Calibri" w:cs="Calibri"/>
          <w:sz w:val="22"/>
          <w:szCs w:val="22"/>
        </w:rPr>
        <w:t>the transparency, credibility and robustness of</w:t>
      </w:r>
      <w:r w:rsidR="002B02D0" w:rsidRPr="00EC52A2">
        <w:rPr>
          <w:rFonts w:ascii="Calibri" w:eastAsia="Calibri" w:hAnsi="Calibri" w:cs="Calibri"/>
          <w:sz w:val="22"/>
          <w:szCs w:val="22"/>
        </w:rPr>
        <w:t xml:space="preserve"> </w:t>
      </w:r>
      <w:r w:rsidR="00FE6BD1" w:rsidRPr="00EC52A2">
        <w:rPr>
          <w:rFonts w:ascii="Calibri" w:eastAsia="Calibri" w:hAnsi="Calibri" w:cs="Calibri"/>
          <w:sz w:val="22"/>
          <w:szCs w:val="22"/>
        </w:rPr>
        <w:t xml:space="preserve">all </w:t>
      </w:r>
      <w:r w:rsidR="002B02D0" w:rsidRPr="00EC52A2">
        <w:rPr>
          <w:rFonts w:ascii="Calibri" w:eastAsia="Calibri" w:hAnsi="Calibri" w:cs="Calibri"/>
          <w:sz w:val="22"/>
          <w:szCs w:val="22"/>
        </w:rPr>
        <w:t xml:space="preserve">Gold Standard VERs.  </w:t>
      </w:r>
      <w:r w:rsidR="009F1C08" w:rsidRPr="00EC52A2">
        <w:rPr>
          <w:rFonts w:ascii="Calibri" w:eastAsia="Calibri" w:hAnsi="Calibri" w:cs="Calibri"/>
          <w:sz w:val="22"/>
          <w:szCs w:val="22"/>
        </w:rPr>
        <w:t xml:space="preserve">At the same time </w:t>
      </w:r>
      <w:r w:rsidRPr="00EC52A2">
        <w:rPr>
          <w:rFonts w:ascii="Calibri" w:eastAsia="Calibri" w:hAnsi="Calibri" w:cs="Calibri"/>
          <w:sz w:val="22"/>
          <w:szCs w:val="22"/>
        </w:rPr>
        <w:t>there are</w:t>
      </w:r>
      <w:r w:rsidR="00C04A26" w:rsidRPr="00EC52A2">
        <w:rPr>
          <w:rFonts w:ascii="Calibri" w:eastAsia="Calibri" w:hAnsi="Calibri" w:cs="Calibri"/>
          <w:sz w:val="22"/>
          <w:szCs w:val="22"/>
        </w:rPr>
        <w:t xml:space="preserve"> increasing</w:t>
      </w:r>
      <w:r w:rsidRPr="00EC52A2">
        <w:rPr>
          <w:rFonts w:ascii="Calibri" w:eastAsia="Calibri" w:hAnsi="Calibri" w:cs="Calibri"/>
          <w:sz w:val="22"/>
          <w:szCs w:val="22"/>
        </w:rPr>
        <w:t xml:space="preserve"> market demands for Gold Sta</w:t>
      </w:r>
      <w:r w:rsidR="009F1C08" w:rsidRPr="00EC52A2">
        <w:rPr>
          <w:rFonts w:ascii="Calibri" w:eastAsia="Calibri" w:hAnsi="Calibri" w:cs="Calibri"/>
          <w:sz w:val="22"/>
          <w:szCs w:val="22"/>
        </w:rPr>
        <w:t xml:space="preserve">ndard </w:t>
      </w:r>
      <w:r w:rsidR="00617F14" w:rsidRPr="00EC52A2">
        <w:rPr>
          <w:rFonts w:ascii="Calibri" w:eastAsia="Calibri" w:hAnsi="Calibri" w:cs="Calibri"/>
          <w:sz w:val="22"/>
          <w:szCs w:val="22"/>
        </w:rPr>
        <w:t xml:space="preserve">VERs generated </w:t>
      </w:r>
      <w:r w:rsidR="009F1C08" w:rsidRPr="00EC52A2">
        <w:rPr>
          <w:rFonts w:ascii="Calibri" w:eastAsia="Calibri" w:hAnsi="Calibri" w:cs="Calibri"/>
          <w:sz w:val="22"/>
          <w:szCs w:val="22"/>
        </w:rPr>
        <w:t xml:space="preserve">within </w:t>
      </w:r>
      <w:r w:rsidRPr="00EC52A2">
        <w:rPr>
          <w:rFonts w:ascii="Calibri" w:eastAsia="Calibri" w:hAnsi="Calibri" w:cs="Calibri"/>
          <w:sz w:val="22"/>
          <w:szCs w:val="22"/>
        </w:rPr>
        <w:t>countries</w:t>
      </w:r>
      <w:r w:rsidR="009F1C08" w:rsidRPr="00EC52A2">
        <w:rPr>
          <w:rFonts w:ascii="Calibri" w:eastAsia="Calibri" w:hAnsi="Calibri" w:cs="Calibri"/>
          <w:sz w:val="22"/>
          <w:szCs w:val="22"/>
        </w:rPr>
        <w:t xml:space="preserve"> that </w:t>
      </w:r>
      <w:r w:rsidR="00617F14" w:rsidRPr="00EC52A2">
        <w:rPr>
          <w:rFonts w:ascii="Calibri" w:eastAsia="Calibri" w:hAnsi="Calibri" w:cs="Calibri"/>
          <w:sz w:val="22"/>
          <w:szCs w:val="22"/>
        </w:rPr>
        <w:t>have cap on GHG emissions</w:t>
      </w:r>
      <w:r w:rsidR="00F558AC" w:rsidRPr="00EC52A2">
        <w:rPr>
          <w:rFonts w:ascii="Calibri" w:eastAsia="Calibri" w:hAnsi="Calibri" w:cs="Calibri"/>
          <w:sz w:val="22"/>
          <w:szCs w:val="22"/>
        </w:rPr>
        <w:t>.</w:t>
      </w:r>
      <w:r w:rsidRPr="00EC52A2">
        <w:rPr>
          <w:rFonts w:ascii="Calibri" w:eastAsia="Calibri" w:hAnsi="Calibri" w:cs="Calibri"/>
          <w:sz w:val="22"/>
          <w:szCs w:val="22"/>
        </w:rPr>
        <w:t xml:space="preserve"> </w:t>
      </w:r>
    </w:p>
    <w:p w14:paraId="347A846F" w14:textId="77777777" w:rsidR="006E5C5F" w:rsidRPr="00EC52A2" w:rsidRDefault="006E5C5F" w:rsidP="006E5C5F">
      <w:pPr>
        <w:pStyle w:val="Normal1"/>
        <w:spacing w:after="0"/>
        <w:contextualSpacing w:val="0"/>
        <w:rPr>
          <w:rFonts w:ascii="Calibri" w:eastAsia="Calibri" w:hAnsi="Calibri" w:cs="Calibri"/>
          <w:sz w:val="22"/>
          <w:szCs w:val="22"/>
        </w:rPr>
      </w:pPr>
    </w:p>
    <w:p w14:paraId="59149E3F" w14:textId="14376E59" w:rsidR="001B6541" w:rsidRPr="00EC52A2" w:rsidRDefault="00F558AC" w:rsidP="006E5C5F">
      <w:pPr>
        <w:pStyle w:val="Normal1"/>
        <w:spacing w:after="0"/>
        <w:contextualSpacing w:val="0"/>
        <w:rPr>
          <w:rFonts w:ascii="Calibri" w:eastAsia="Calibri" w:hAnsi="Calibri" w:cs="Calibri"/>
          <w:sz w:val="22"/>
          <w:szCs w:val="22"/>
        </w:rPr>
      </w:pPr>
      <w:r w:rsidRPr="00EC52A2">
        <w:rPr>
          <w:rFonts w:ascii="Calibri" w:eastAsia="Calibri" w:hAnsi="Calibri" w:cs="Calibri"/>
          <w:sz w:val="22"/>
          <w:szCs w:val="22"/>
        </w:rPr>
        <w:t>Typically the potential for Double Clouting arises where</w:t>
      </w:r>
      <w:r w:rsidR="001B6541" w:rsidRPr="00EC52A2">
        <w:rPr>
          <w:rFonts w:ascii="Calibri" w:eastAsia="Calibri" w:hAnsi="Calibri" w:cs="Calibri"/>
          <w:sz w:val="22"/>
          <w:szCs w:val="22"/>
        </w:rPr>
        <w:t xml:space="preserve"> there is a government-regulated system/programme for the constraint and monetisation of </w:t>
      </w:r>
      <w:r w:rsidR="00B42413" w:rsidRPr="00EC52A2">
        <w:rPr>
          <w:rFonts w:ascii="Calibri" w:eastAsia="Calibri" w:hAnsi="Calibri" w:cs="Calibri"/>
          <w:sz w:val="22"/>
          <w:szCs w:val="22"/>
        </w:rPr>
        <w:t>GHG</w:t>
      </w:r>
      <w:r w:rsidR="001B6541" w:rsidRPr="00EC52A2">
        <w:rPr>
          <w:rFonts w:ascii="Calibri" w:eastAsia="Calibri" w:hAnsi="Calibri" w:cs="Calibri"/>
          <w:sz w:val="22"/>
          <w:szCs w:val="22"/>
        </w:rPr>
        <w:t xml:space="preserve"> emissions</w:t>
      </w:r>
      <w:r w:rsidR="005C49C5">
        <w:rPr>
          <w:rFonts w:ascii="Calibri" w:eastAsia="Calibri" w:hAnsi="Calibri" w:cs="Calibri"/>
          <w:sz w:val="22"/>
          <w:szCs w:val="22"/>
        </w:rPr>
        <w:t xml:space="preserve"> (such as cap and trade or carbon tax mechanisms)</w:t>
      </w:r>
      <w:r w:rsidR="001B6541" w:rsidRPr="00EC52A2">
        <w:rPr>
          <w:rFonts w:ascii="Calibri" w:eastAsia="Calibri" w:hAnsi="Calibri" w:cs="Calibri"/>
          <w:sz w:val="22"/>
          <w:szCs w:val="22"/>
        </w:rPr>
        <w:t>.  Examples may include national/international schemes such as the EU</w:t>
      </w:r>
      <w:r w:rsidR="00C04A26" w:rsidRPr="00EC52A2">
        <w:rPr>
          <w:rFonts w:ascii="Calibri" w:eastAsia="Calibri" w:hAnsi="Calibri" w:cs="Calibri"/>
          <w:sz w:val="22"/>
          <w:szCs w:val="22"/>
        </w:rPr>
        <w:t xml:space="preserve"> </w:t>
      </w:r>
      <w:r w:rsidR="001B6541" w:rsidRPr="00EC52A2">
        <w:rPr>
          <w:rFonts w:ascii="Calibri" w:eastAsia="Calibri" w:hAnsi="Calibri" w:cs="Calibri"/>
          <w:sz w:val="22"/>
          <w:szCs w:val="22"/>
        </w:rPr>
        <w:t xml:space="preserve">ETS or sub-national, </w:t>
      </w:r>
      <w:r w:rsidR="0051224F">
        <w:rPr>
          <w:rFonts w:ascii="Calibri" w:eastAsia="Calibri" w:hAnsi="Calibri" w:cs="Calibri"/>
          <w:sz w:val="22"/>
          <w:szCs w:val="22"/>
        </w:rPr>
        <w:t xml:space="preserve">various </w:t>
      </w:r>
      <w:r w:rsidR="001B6541" w:rsidRPr="00EC52A2">
        <w:rPr>
          <w:rFonts w:ascii="Calibri" w:eastAsia="Calibri" w:hAnsi="Calibri" w:cs="Calibri"/>
          <w:sz w:val="22"/>
          <w:szCs w:val="22"/>
        </w:rPr>
        <w:t>regional schemes such as the</w:t>
      </w:r>
      <w:r w:rsidR="00C04A26" w:rsidRPr="00EC52A2">
        <w:rPr>
          <w:rFonts w:ascii="Calibri" w:eastAsia="Calibri" w:hAnsi="Calibri" w:cs="Calibri"/>
          <w:sz w:val="22"/>
          <w:szCs w:val="22"/>
        </w:rPr>
        <w:t xml:space="preserve"> Chinese, Canadian and American </w:t>
      </w:r>
      <w:r w:rsidR="00FE6BD1" w:rsidRPr="00EC52A2">
        <w:rPr>
          <w:rFonts w:ascii="Calibri" w:eastAsia="Calibri" w:hAnsi="Calibri" w:cs="Calibri"/>
          <w:sz w:val="22"/>
          <w:szCs w:val="22"/>
        </w:rPr>
        <w:t xml:space="preserve">provincial/state-based </w:t>
      </w:r>
      <w:r w:rsidR="00B42413" w:rsidRPr="00EC52A2">
        <w:rPr>
          <w:rFonts w:ascii="Calibri" w:eastAsia="Calibri" w:hAnsi="Calibri" w:cs="Calibri"/>
          <w:sz w:val="22"/>
          <w:szCs w:val="22"/>
        </w:rPr>
        <w:t>schemes</w:t>
      </w:r>
      <w:r w:rsidR="001B6541" w:rsidRPr="00EC52A2">
        <w:rPr>
          <w:rFonts w:ascii="Calibri" w:eastAsia="Calibri" w:hAnsi="Calibri" w:cs="Calibri"/>
          <w:sz w:val="22"/>
          <w:szCs w:val="22"/>
        </w:rPr>
        <w:t>.  Under th</w:t>
      </w:r>
      <w:r w:rsidR="00DE5896">
        <w:rPr>
          <w:rFonts w:ascii="Calibri" w:eastAsia="Calibri" w:hAnsi="Calibri" w:cs="Calibri"/>
          <w:sz w:val="22"/>
          <w:szCs w:val="22"/>
        </w:rPr>
        <w:t xml:space="preserve">ese systems/programmes </w:t>
      </w:r>
      <w:r w:rsidR="001B6541" w:rsidRPr="00EC52A2">
        <w:rPr>
          <w:rFonts w:ascii="Calibri" w:eastAsia="Calibri" w:hAnsi="Calibri" w:cs="Calibri"/>
          <w:sz w:val="22"/>
          <w:szCs w:val="22"/>
        </w:rPr>
        <w:t xml:space="preserve">the potential exists for </w:t>
      </w:r>
      <w:r w:rsidR="00DE5896">
        <w:rPr>
          <w:rFonts w:ascii="Calibri" w:eastAsia="Calibri" w:hAnsi="Calibri" w:cs="Calibri"/>
          <w:sz w:val="22"/>
          <w:szCs w:val="22"/>
        </w:rPr>
        <w:t xml:space="preserve">the </w:t>
      </w:r>
      <w:r w:rsidR="00DE5896" w:rsidRPr="00EC52A2">
        <w:rPr>
          <w:rFonts w:ascii="Calibri" w:eastAsia="Calibri" w:hAnsi="Calibri" w:cs="Calibri"/>
          <w:sz w:val="22"/>
          <w:szCs w:val="22"/>
        </w:rPr>
        <w:t>Gold Standard VERs/CO</w:t>
      </w:r>
      <w:r w:rsidR="00DE5896" w:rsidRPr="00EC52A2">
        <w:rPr>
          <w:rFonts w:ascii="Calibri" w:eastAsia="Calibri" w:hAnsi="Calibri" w:cs="Calibri"/>
          <w:sz w:val="18"/>
          <w:szCs w:val="22"/>
        </w:rPr>
        <w:t>2</w:t>
      </w:r>
      <w:r w:rsidR="00DE5896" w:rsidRPr="00EC52A2">
        <w:rPr>
          <w:rFonts w:ascii="Calibri" w:eastAsia="Calibri" w:hAnsi="Calibri" w:cs="Calibri"/>
          <w:sz w:val="22"/>
          <w:szCs w:val="22"/>
        </w:rPr>
        <w:t>-certificates</w:t>
      </w:r>
      <w:r w:rsidR="00DE5896" w:rsidRPr="00DE5896">
        <w:rPr>
          <w:rFonts w:ascii="Calibri" w:eastAsia="Calibri" w:hAnsi="Calibri" w:cs="Calibri"/>
          <w:sz w:val="22"/>
          <w:szCs w:val="22"/>
        </w:rPr>
        <w:t xml:space="preserve"> </w:t>
      </w:r>
      <w:r w:rsidR="001B6541" w:rsidRPr="00EC52A2">
        <w:rPr>
          <w:rFonts w:ascii="Calibri" w:eastAsia="Calibri" w:hAnsi="Calibri" w:cs="Calibri"/>
          <w:sz w:val="22"/>
          <w:szCs w:val="22"/>
        </w:rPr>
        <w:t>to be inadvertently</w:t>
      </w:r>
      <w:r w:rsidR="008A7CBD" w:rsidRPr="00EC52A2">
        <w:rPr>
          <w:rFonts w:ascii="Calibri" w:eastAsia="Calibri" w:hAnsi="Calibri" w:cs="Calibri"/>
          <w:sz w:val="22"/>
          <w:szCs w:val="22"/>
        </w:rPr>
        <w:t xml:space="preserve"> or intentionally</w:t>
      </w:r>
      <w:r w:rsidR="001B6541" w:rsidRPr="00EC52A2">
        <w:rPr>
          <w:rFonts w:ascii="Calibri" w:eastAsia="Calibri" w:hAnsi="Calibri" w:cs="Calibri"/>
          <w:sz w:val="22"/>
          <w:szCs w:val="22"/>
        </w:rPr>
        <w:t xml:space="preserve"> captured and monetised </w:t>
      </w:r>
      <w:r w:rsidR="0042628C" w:rsidRPr="00EC52A2">
        <w:rPr>
          <w:rFonts w:ascii="Calibri" w:eastAsia="Calibri" w:hAnsi="Calibri" w:cs="Calibri"/>
          <w:sz w:val="22"/>
          <w:szCs w:val="22"/>
        </w:rPr>
        <w:t>outside of the</w:t>
      </w:r>
      <w:r w:rsidR="00DA0A32">
        <w:rPr>
          <w:rFonts w:ascii="Calibri" w:eastAsia="Calibri" w:hAnsi="Calibri" w:cs="Calibri"/>
          <w:sz w:val="22"/>
          <w:szCs w:val="22"/>
        </w:rPr>
        <w:t xml:space="preserve"> Gold Standard</w:t>
      </w:r>
      <w:r w:rsidR="0042628C" w:rsidRPr="00EC52A2">
        <w:rPr>
          <w:rFonts w:ascii="Calibri" w:eastAsia="Calibri" w:hAnsi="Calibri" w:cs="Calibri"/>
          <w:sz w:val="22"/>
          <w:szCs w:val="22"/>
        </w:rPr>
        <w:t xml:space="preserve"> issuance-transfer-retirement</w:t>
      </w:r>
      <w:r w:rsidR="00DA0A32">
        <w:rPr>
          <w:rFonts w:ascii="Calibri" w:eastAsia="Calibri" w:hAnsi="Calibri" w:cs="Calibri"/>
          <w:sz w:val="22"/>
          <w:szCs w:val="22"/>
        </w:rPr>
        <w:t xml:space="preserve"> practice</w:t>
      </w:r>
      <w:r w:rsidR="001B6541" w:rsidRPr="00EC52A2">
        <w:rPr>
          <w:rFonts w:ascii="Calibri" w:eastAsia="Calibri" w:hAnsi="Calibri" w:cs="Calibri"/>
          <w:sz w:val="22"/>
          <w:szCs w:val="22"/>
        </w:rPr>
        <w:t>.</w:t>
      </w:r>
      <w:r w:rsidR="00666FC2">
        <w:rPr>
          <w:rFonts w:ascii="Calibri" w:eastAsia="Calibri" w:hAnsi="Calibri" w:cs="Calibri"/>
          <w:sz w:val="22"/>
          <w:szCs w:val="22"/>
        </w:rPr>
        <w:t xml:space="preserve"> </w:t>
      </w:r>
    </w:p>
    <w:p w14:paraId="5B375929" w14:textId="77777777" w:rsidR="006E5C5F" w:rsidRPr="00EC52A2" w:rsidRDefault="006E5C5F" w:rsidP="006E5C5F">
      <w:pPr>
        <w:pStyle w:val="Normal1"/>
        <w:spacing w:after="0"/>
        <w:contextualSpacing w:val="0"/>
        <w:rPr>
          <w:rFonts w:ascii="Calibri" w:eastAsia="Calibri" w:hAnsi="Calibri" w:cs="Calibri"/>
          <w:sz w:val="22"/>
          <w:szCs w:val="22"/>
        </w:rPr>
      </w:pPr>
    </w:p>
    <w:p w14:paraId="5431B4DA" w14:textId="2D911337" w:rsidR="00F558AC" w:rsidRDefault="00F558AC" w:rsidP="006E5C5F">
      <w:pPr>
        <w:pStyle w:val="Normal1"/>
        <w:spacing w:after="0"/>
        <w:contextualSpacing w:val="0"/>
        <w:rPr>
          <w:rFonts w:ascii="Calibri" w:eastAsia="Calibri" w:hAnsi="Calibri" w:cs="Calibri"/>
          <w:sz w:val="22"/>
          <w:szCs w:val="22"/>
        </w:rPr>
      </w:pPr>
      <w:r w:rsidRPr="00EC52A2">
        <w:rPr>
          <w:rFonts w:ascii="Calibri" w:eastAsia="Calibri" w:hAnsi="Calibri" w:cs="Calibri"/>
          <w:sz w:val="22"/>
          <w:szCs w:val="22"/>
        </w:rPr>
        <w:t>The above scenario is typified (though not exclusively) by a cap and trade system whose accounting is managed via AAUs</w:t>
      </w:r>
      <w:r w:rsidR="007735A9" w:rsidRPr="00EC52A2">
        <w:rPr>
          <w:rFonts w:ascii="Calibri" w:eastAsia="Calibri" w:hAnsi="Calibri" w:cs="Calibri"/>
          <w:sz w:val="22"/>
          <w:szCs w:val="22"/>
        </w:rPr>
        <w:t xml:space="preserve"> or scheme-based </w:t>
      </w:r>
      <w:r w:rsidR="00B42413" w:rsidRPr="00EC52A2">
        <w:rPr>
          <w:rFonts w:ascii="Calibri" w:eastAsia="Calibri" w:hAnsi="Calibri" w:cs="Calibri"/>
          <w:sz w:val="22"/>
          <w:szCs w:val="22"/>
        </w:rPr>
        <w:t>compliance credits</w:t>
      </w:r>
      <w:r w:rsidRPr="00EC52A2">
        <w:rPr>
          <w:rFonts w:ascii="Calibri" w:eastAsia="Calibri" w:hAnsi="Calibri" w:cs="Calibri"/>
          <w:sz w:val="22"/>
          <w:szCs w:val="22"/>
        </w:rPr>
        <w:t>.  Such accounting mechanisms vary widely in quality, rigour and content with differing examples of sector and scope inclusion.</w:t>
      </w:r>
      <w:r w:rsidR="005C49C5">
        <w:rPr>
          <w:rFonts w:ascii="Calibri" w:eastAsia="Calibri" w:hAnsi="Calibri" w:cs="Calibri"/>
          <w:sz w:val="22"/>
          <w:szCs w:val="22"/>
        </w:rPr>
        <w:t xml:space="preserve">  The scenario may also occur where a carbon tax exists.</w:t>
      </w:r>
    </w:p>
    <w:p w14:paraId="4518BA6E" w14:textId="77777777" w:rsidR="00FD256A" w:rsidRDefault="00FD256A" w:rsidP="006E5C5F">
      <w:pPr>
        <w:pStyle w:val="Normal1"/>
        <w:spacing w:after="0"/>
        <w:contextualSpacing w:val="0"/>
        <w:rPr>
          <w:rFonts w:ascii="Calibri" w:eastAsia="Calibri" w:hAnsi="Calibri" w:cs="Calibri"/>
          <w:sz w:val="22"/>
          <w:szCs w:val="22"/>
        </w:rPr>
      </w:pPr>
    </w:p>
    <w:p w14:paraId="60B4F4E9" w14:textId="587301E9" w:rsidR="00FD256A" w:rsidRPr="00EC52A2" w:rsidRDefault="00FD256A" w:rsidP="006E5C5F">
      <w:pPr>
        <w:pStyle w:val="Normal1"/>
        <w:spacing w:after="0"/>
        <w:contextualSpacing w:val="0"/>
        <w:rPr>
          <w:rFonts w:ascii="Calibri" w:eastAsia="Calibri" w:hAnsi="Calibri" w:cs="Calibri"/>
          <w:i/>
          <w:sz w:val="22"/>
          <w:szCs w:val="22"/>
        </w:rPr>
      </w:pPr>
      <w:r>
        <w:rPr>
          <w:rFonts w:ascii="Calibri" w:eastAsia="Calibri" w:hAnsi="Calibri" w:cs="Calibri"/>
          <w:sz w:val="22"/>
          <w:szCs w:val="22"/>
        </w:rPr>
        <w:t xml:space="preserve">While a rule exists under the Gold Standard E&amp;W Scope (allowing the cancellation of AAUs in lieu of GS VERs issued) frequent feedback indicates that this is neither practical or in many cases feasible.  This guideline therefore addresses this and provides a greater flexibility to Project Developers operating in affected countries.  There is currently no such rule in place for LU&amp;F </w:t>
      </w:r>
      <w:r w:rsidR="00242815">
        <w:rPr>
          <w:rFonts w:ascii="Calibri" w:eastAsia="Calibri" w:hAnsi="Calibri" w:cs="Calibri"/>
          <w:sz w:val="22"/>
          <w:szCs w:val="22"/>
        </w:rPr>
        <w:t>and therefore is required to improve the overall integrity of that standard.</w:t>
      </w:r>
    </w:p>
    <w:p w14:paraId="756454A1" w14:textId="77777777" w:rsidR="006E5C5F" w:rsidRPr="00EC52A2" w:rsidRDefault="006E5C5F" w:rsidP="006E5C5F">
      <w:pPr>
        <w:pStyle w:val="Normal1"/>
        <w:spacing w:after="0"/>
        <w:contextualSpacing w:val="0"/>
        <w:rPr>
          <w:rFonts w:ascii="Calibri" w:eastAsia="Calibri" w:hAnsi="Calibri" w:cs="Calibri"/>
          <w:sz w:val="22"/>
          <w:szCs w:val="22"/>
        </w:rPr>
      </w:pPr>
    </w:p>
    <w:p w14:paraId="2F25455C" w14:textId="26FFB983" w:rsidR="00556B3B" w:rsidRPr="00EC52A2" w:rsidRDefault="00B42413" w:rsidP="006E5C5F">
      <w:pPr>
        <w:pStyle w:val="Normal1"/>
        <w:spacing w:after="0"/>
        <w:contextualSpacing w:val="0"/>
        <w:rPr>
          <w:rFonts w:ascii="Calibri" w:eastAsia="Calibri" w:hAnsi="Calibri" w:cs="Calibri"/>
          <w:sz w:val="22"/>
          <w:szCs w:val="22"/>
        </w:rPr>
      </w:pPr>
      <w:r w:rsidRPr="00EC52A2">
        <w:rPr>
          <w:rFonts w:ascii="Calibri" w:eastAsia="Calibri" w:hAnsi="Calibri" w:cs="Calibri"/>
          <w:sz w:val="22"/>
          <w:szCs w:val="22"/>
        </w:rPr>
        <w:t>This guideline provide</w:t>
      </w:r>
      <w:r w:rsidR="00EC52A2" w:rsidRPr="00EC52A2">
        <w:rPr>
          <w:rFonts w:ascii="Calibri" w:eastAsia="Calibri" w:hAnsi="Calibri" w:cs="Calibri"/>
          <w:sz w:val="22"/>
          <w:szCs w:val="22"/>
        </w:rPr>
        <w:t>s</w:t>
      </w:r>
      <w:r w:rsidR="00052FA0" w:rsidRPr="00EC52A2">
        <w:rPr>
          <w:rFonts w:ascii="Calibri" w:eastAsia="Calibri" w:hAnsi="Calibri" w:cs="Calibri"/>
          <w:sz w:val="22"/>
          <w:szCs w:val="22"/>
        </w:rPr>
        <w:t xml:space="preserve"> </w:t>
      </w:r>
      <w:r w:rsidR="007735A9" w:rsidRPr="00EC52A2">
        <w:rPr>
          <w:rFonts w:ascii="Calibri" w:eastAsia="Calibri" w:hAnsi="Calibri" w:cs="Calibri"/>
          <w:sz w:val="22"/>
          <w:szCs w:val="22"/>
        </w:rPr>
        <w:t xml:space="preserve">a </w:t>
      </w:r>
      <w:r w:rsidR="00052FA0" w:rsidRPr="00EC52A2">
        <w:rPr>
          <w:rFonts w:ascii="Calibri" w:eastAsia="Calibri" w:hAnsi="Calibri" w:cs="Calibri"/>
          <w:sz w:val="22"/>
          <w:szCs w:val="22"/>
        </w:rPr>
        <w:t>robust response</w:t>
      </w:r>
      <w:r w:rsidR="00F558AC" w:rsidRPr="00EC52A2">
        <w:rPr>
          <w:rFonts w:ascii="Calibri" w:eastAsia="Calibri" w:hAnsi="Calibri" w:cs="Calibri"/>
          <w:sz w:val="22"/>
          <w:szCs w:val="22"/>
        </w:rPr>
        <w:t xml:space="preserve"> </w:t>
      </w:r>
      <w:r w:rsidR="00052FA0" w:rsidRPr="00EC52A2">
        <w:rPr>
          <w:rFonts w:ascii="Calibri" w:eastAsia="Calibri" w:hAnsi="Calibri" w:cs="Calibri"/>
          <w:sz w:val="22"/>
          <w:szCs w:val="22"/>
        </w:rPr>
        <w:t>to resolve this issue</w:t>
      </w:r>
      <w:r w:rsidR="00F611E6" w:rsidRPr="00EC52A2">
        <w:rPr>
          <w:rFonts w:ascii="Calibri" w:eastAsia="Calibri" w:hAnsi="Calibri" w:cs="Calibri"/>
          <w:sz w:val="22"/>
          <w:szCs w:val="22"/>
        </w:rPr>
        <w:t xml:space="preserve"> across the relevant </w:t>
      </w:r>
      <w:r w:rsidR="00EC52A2" w:rsidRPr="00EC52A2">
        <w:rPr>
          <w:rFonts w:ascii="Calibri" w:eastAsia="Calibri" w:hAnsi="Calibri" w:cs="Calibri"/>
          <w:sz w:val="22"/>
          <w:szCs w:val="22"/>
        </w:rPr>
        <w:t>Gold Standard scopes</w:t>
      </w:r>
      <w:r w:rsidR="002B0986" w:rsidRPr="00EC52A2">
        <w:rPr>
          <w:rFonts w:ascii="Calibri" w:eastAsia="Calibri" w:hAnsi="Calibri" w:cs="Calibri"/>
          <w:sz w:val="22"/>
          <w:szCs w:val="22"/>
        </w:rPr>
        <w:t>.</w:t>
      </w:r>
    </w:p>
    <w:p w14:paraId="235D3093" w14:textId="491D4B79" w:rsidR="00F611E6" w:rsidRPr="00EC52A2" w:rsidRDefault="00F611E6" w:rsidP="006E5C5F">
      <w:pPr>
        <w:spacing w:after="0"/>
        <w:rPr>
          <w:rFonts w:ascii="Calibri" w:eastAsia="Calibri" w:hAnsi="Calibri" w:cs="Calibri"/>
          <w:sz w:val="22"/>
          <w:szCs w:val="22"/>
        </w:rPr>
      </w:pPr>
      <w:r w:rsidRPr="00EC52A2">
        <w:rPr>
          <w:rFonts w:ascii="Calibri" w:eastAsia="Calibri" w:hAnsi="Calibri" w:cs="Calibri"/>
          <w:sz w:val="22"/>
          <w:szCs w:val="22"/>
        </w:rPr>
        <w:br w:type="page"/>
      </w:r>
    </w:p>
    <w:p w14:paraId="2C4B15F4" w14:textId="77777777" w:rsidR="003165F4" w:rsidRPr="00EC52A2" w:rsidRDefault="003165F4" w:rsidP="003165F4">
      <w:pPr>
        <w:pStyle w:val="Normal1"/>
        <w:spacing w:after="0"/>
        <w:contextualSpacing w:val="0"/>
        <w:rPr>
          <w:rFonts w:ascii="Calibri" w:eastAsia="Calibri" w:hAnsi="Calibri" w:cs="Calibri"/>
          <w:b/>
          <w:sz w:val="22"/>
          <w:szCs w:val="22"/>
        </w:rPr>
      </w:pPr>
    </w:p>
    <w:p w14:paraId="43E29A90" w14:textId="77777777" w:rsidR="009F1C08" w:rsidRPr="00EC52A2" w:rsidRDefault="009F1C08" w:rsidP="006E5C5F">
      <w:pPr>
        <w:pStyle w:val="Normal1"/>
        <w:numPr>
          <w:ilvl w:val="0"/>
          <w:numId w:val="1"/>
        </w:numPr>
        <w:spacing w:after="0"/>
        <w:contextualSpacing w:val="0"/>
        <w:rPr>
          <w:rFonts w:ascii="Calibri" w:eastAsia="Calibri" w:hAnsi="Calibri" w:cs="Calibri"/>
          <w:b/>
          <w:sz w:val="22"/>
          <w:szCs w:val="22"/>
        </w:rPr>
      </w:pPr>
      <w:r w:rsidRPr="00EC52A2">
        <w:rPr>
          <w:rFonts w:ascii="Calibri" w:eastAsia="Calibri" w:hAnsi="Calibri" w:cs="Calibri"/>
          <w:b/>
          <w:sz w:val="22"/>
          <w:szCs w:val="22"/>
        </w:rPr>
        <w:t>DEFINITIONS</w:t>
      </w:r>
    </w:p>
    <w:p w14:paraId="5032F303" w14:textId="77777777" w:rsidR="003165F4" w:rsidRPr="00EC52A2" w:rsidRDefault="003165F4" w:rsidP="006E5C5F">
      <w:pPr>
        <w:pStyle w:val="Normal1"/>
        <w:spacing w:after="0"/>
        <w:contextualSpacing w:val="0"/>
        <w:rPr>
          <w:rFonts w:ascii="Calibri" w:eastAsia="Calibri" w:hAnsi="Calibri" w:cs="Calibri"/>
          <w:b/>
          <w:sz w:val="22"/>
          <w:szCs w:val="22"/>
        </w:rPr>
      </w:pPr>
    </w:p>
    <w:p w14:paraId="7EB8AC52" w14:textId="120501DB" w:rsidR="00075CBA" w:rsidRPr="00EC52A2" w:rsidRDefault="009F1C08" w:rsidP="006E5C5F">
      <w:pPr>
        <w:pStyle w:val="Normal1"/>
        <w:spacing w:after="0"/>
        <w:contextualSpacing w:val="0"/>
        <w:rPr>
          <w:rFonts w:ascii="Calibri" w:eastAsia="Calibri" w:hAnsi="Calibri" w:cs="Calibri"/>
          <w:sz w:val="22"/>
          <w:szCs w:val="22"/>
        </w:rPr>
      </w:pPr>
      <w:r w:rsidRPr="00EC52A2">
        <w:rPr>
          <w:rFonts w:ascii="Calibri" w:eastAsia="Calibri" w:hAnsi="Calibri" w:cs="Calibri"/>
          <w:b/>
          <w:sz w:val="22"/>
          <w:szCs w:val="22"/>
        </w:rPr>
        <w:t xml:space="preserve">Double </w:t>
      </w:r>
      <w:proofErr w:type="gramStart"/>
      <w:r w:rsidRPr="00EC52A2">
        <w:rPr>
          <w:rFonts w:ascii="Calibri" w:eastAsia="Calibri" w:hAnsi="Calibri" w:cs="Calibri"/>
          <w:b/>
          <w:sz w:val="22"/>
          <w:szCs w:val="22"/>
        </w:rPr>
        <w:t>Counting</w:t>
      </w:r>
      <w:r w:rsidR="00EC52A2">
        <w:rPr>
          <w:rFonts w:ascii="Calibri" w:eastAsia="Calibri" w:hAnsi="Calibri" w:cs="Calibri"/>
          <w:b/>
          <w:sz w:val="22"/>
          <w:szCs w:val="22"/>
        </w:rPr>
        <w:t xml:space="preserve"> </w:t>
      </w:r>
      <w:r w:rsidR="00EC52A2" w:rsidRPr="00EC52A2">
        <w:rPr>
          <w:rFonts w:ascii="Calibri" w:eastAsia="Calibri" w:hAnsi="Calibri" w:cs="Calibri"/>
          <w:b/>
          <w:sz w:val="22"/>
          <w:szCs w:val="22"/>
        </w:rPr>
        <w:t xml:space="preserve"> </w:t>
      </w:r>
      <w:r w:rsidR="00EC52A2" w:rsidRPr="00EC52A2">
        <w:rPr>
          <w:rFonts w:ascii="Calibri" w:hAnsi="Calibri"/>
          <w:sz w:val="20"/>
          <w:szCs w:val="20"/>
        </w:rPr>
        <w:t>l</w:t>
      </w:r>
      <w:proofErr w:type="gramEnd"/>
      <w:r w:rsidR="00EC52A2" w:rsidRPr="00EC52A2">
        <w:rPr>
          <w:rFonts w:ascii="Calibri" w:eastAsia="Calibri" w:hAnsi="Calibri" w:cs="Calibri"/>
          <w:sz w:val="22"/>
          <w:szCs w:val="22"/>
        </w:rPr>
        <w:t xml:space="preserve"> </w:t>
      </w:r>
      <w:r w:rsidR="00EC52A2">
        <w:rPr>
          <w:rFonts w:ascii="Calibri" w:eastAsia="Calibri" w:hAnsi="Calibri" w:cs="Calibri"/>
          <w:sz w:val="22"/>
          <w:szCs w:val="22"/>
        </w:rPr>
        <w:t xml:space="preserve"> </w:t>
      </w:r>
      <w:r w:rsidRPr="00EC52A2">
        <w:rPr>
          <w:rFonts w:ascii="Calibri" w:eastAsia="Calibri" w:hAnsi="Calibri" w:cs="Calibri"/>
          <w:sz w:val="22"/>
          <w:szCs w:val="22"/>
        </w:rPr>
        <w:t xml:space="preserve">The scenario wherein the environmental benefit of a </w:t>
      </w:r>
      <w:r w:rsidR="00B32DA0" w:rsidRPr="00EC52A2">
        <w:rPr>
          <w:rFonts w:ascii="Calibri" w:eastAsia="Calibri" w:hAnsi="Calibri" w:cs="Calibri"/>
          <w:sz w:val="22"/>
          <w:szCs w:val="22"/>
        </w:rPr>
        <w:t xml:space="preserve">single </w:t>
      </w:r>
      <w:r w:rsidRPr="00EC52A2">
        <w:rPr>
          <w:rFonts w:ascii="Calibri" w:eastAsia="Calibri" w:hAnsi="Calibri" w:cs="Calibri"/>
          <w:sz w:val="22"/>
          <w:szCs w:val="22"/>
        </w:rPr>
        <w:t xml:space="preserve">GHG emission reduction is </w:t>
      </w:r>
      <w:r w:rsidR="00B5464C">
        <w:rPr>
          <w:rFonts w:ascii="Calibri" w:eastAsia="Calibri" w:hAnsi="Calibri" w:cs="Calibri"/>
          <w:sz w:val="22"/>
          <w:szCs w:val="22"/>
        </w:rPr>
        <w:t>c</w:t>
      </w:r>
      <w:r w:rsidRPr="00EC52A2">
        <w:rPr>
          <w:rFonts w:ascii="Calibri" w:eastAsia="Calibri" w:hAnsi="Calibri" w:cs="Calibri"/>
          <w:sz w:val="22"/>
          <w:szCs w:val="22"/>
        </w:rPr>
        <w:t xml:space="preserve">laimed, </w:t>
      </w:r>
      <w:r w:rsidR="00B5464C">
        <w:rPr>
          <w:rFonts w:ascii="Calibri" w:eastAsia="Calibri" w:hAnsi="Calibri" w:cs="Calibri"/>
          <w:sz w:val="22"/>
          <w:szCs w:val="22"/>
        </w:rPr>
        <w:t>m</w:t>
      </w:r>
      <w:r w:rsidRPr="00EC52A2">
        <w:rPr>
          <w:rFonts w:ascii="Calibri" w:eastAsia="Calibri" w:hAnsi="Calibri" w:cs="Calibri"/>
          <w:sz w:val="22"/>
          <w:szCs w:val="22"/>
        </w:rPr>
        <w:t xml:space="preserve">onetized or </w:t>
      </w:r>
      <w:r w:rsidR="00B5464C">
        <w:rPr>
          <w:rFonts w:ascii="Calibri" w:eastAsia="Calibri" w:hAnsi="Calibri" w:cs="Calibri"/>
          <w:sz w:val="22"/>
          <w:szCs w:val="22"/>
        </w:rPr>
        <w:t>s</w:t>
      </w:r>
      <w:r w:rsidRPr="00EC52A2">
        <w:rPr>
          <w:rFonts w:ascii="Calibri" w:eastAsia="Calibri" w:hAnsi="Calibri" w:cs="Calibri"/>
          <w:sz w:val="22"/>
          <w:szCs w:val="22"/>
        </w:rPr>
        <w:t>old separately by multiple different parties</w:t>
      </w:r>
      <w:r w:rsidR="00B32DA0" w:rsidRPr="00EC52A2">
        <w:rPr>
          <w:rFonts w:ascii="Calibri" w:eastAsia="Calibri" w:hAnsi="Calibri" w:cs="Calibri"/>
          <w:sz w:val="22"/>
          <w:szCs w:val="22"/>
        </w:rPr>
        <w:t>,</w:t>
      </w:r>
      <w:r w:rsidRPr="00EC52A2">
        <w:rPr>
          <w:rFonts w:ascii="Calibri" w:eastAsia="Calibri" w:hAnsi="Calibri" w:cs="Calibri"/>
          <w:sz w:val="22"/>
          <w:szCs w:val="22"/>
        </w:rPr>
        <w:t xml:space="preserve"> defined further as follows:</w:t>
      </w:r>
    </w:p>
    <w:p w14:paraId="4DA18F95" w14:textId="77777777" w:rsidR="003165F4" w:rsidRPr="00EC52A2" w:rsidRDefault="003165F4" w:rsidP="006E5C5F">
      <w:pPr>
        <w:pStyle w:val="Normal1"/>
        <w:spacing w:after="0"/>
        <w:contextualSpacing w:val="0"/>
        <w:rPr>
          <w:rFonts w:ascii="Calibri" w:eastAsia="Calibri" w:hAnsi="Calibri" w:cs="Calibri"/>
          <w:sz w:val="22"/>
          <w:szCs w:val="22"/>
        </w:rPr>
      </w:pPr>
    </w:p>
    <w:tbl>
      <w:tblPr>
        <w:tblStyle w:val="TableGrid"/>
        <w:tblW w:w="0" w:type="auto"/>
        <w:tblInd w:w="108" w:type="dxa"/>
        <w:tblCellMar>
          <w:top w:w="28" w:type="dxa"/>
          <w:left w:w="142" w:type="dxa"/>
          <w:bottom w:w="28" w:type="dxa"/>
          <w:right w:w="142" w:type="dxa"/>
        </w:tblCellMar>
        <w:tblLook w:val="04A0" w:firstRow="1" w:lastRow="0" w:firstColumn="1" w:lastColumn="0" w:noHBand="0" w:noVBand="1"/>
      </w:tblPr>
      <w:tblGrid>
        <w:gridCol w:w="1809"/>
        <w:gridCol w:w="2410"/>
        <w:gridCol w:w="3544"/>
        <w:gridCol w:w="2407"/>
      </w:tblGrid>
      <w:tr w:rsidR="00075CBA" w:rsidRPr="00EC52A2" w14:paraId="04F32E95" w14:textId="77777777" w:rsidTr="00F13012">
        <w:tc>
          <w:tcPr>
            <w:tcW w:w="1809" w:type="dxa"/>
            <w:shd w:val="clear" w:color="auto" w:fill="BFBFBF" w:themeFill="background1" w:themeFillShade="BF"/>
          </w:tcPr>
          <w:p w14:paraId="748A6019" w14:textId="7F09EE39" w:rsidR="00075CBA" w:rsidRPr="00B5464C" w:rsidRDefault="00075CBA" w:rsidP="006E5C5F">
            <w:pPr>
              <w:pStyle w:val="Normal1"/>
              <w:contextualSpacing w:val="0"/>
              <w:jc w:val="center"/>
              <w:rPr>
                <w:rFonts w:ascii="Calibri" w:eastAsia="Calibri" w:hAnsi="Calibri" w:cs="Calibri"/>
                <w:b/>
                <w:sz w:val="20"/>
                <w:szCs w:val="20"/>
              </w:rPr>
            </w:pPr>
            <w:r w:rsidRPr="00B5464C">
              <w:rPr>
                <w:rFonts w:ascii="Calibri" w:eastAsia="Calibri" w:hAnsi="Calibri" w:cs="Calibri"/>
                <w:b/>
                <w:sz w:val="20"/>
                <w:szCs w:val="20"/>
              </w:rPr>
              <w:t>Type of Double Counting</w:t>
            </w:r>
          </w:p>
        </w:tc>
        <w:tc>
          <w:tcPr>
            <w:tcW w:w="2410" w:type="dxa"/>
            <w:shd w:val="clear" w:color="auto" w:fill="BFBFBF" w:themeFill="background1" w:themeFillShade="BF"/>
          </w:tcPr>
          <w:p w14:paraId="7B958967" w14:textId="549E075D" w:rsidR="00075CBA" w:rsidRPr="00B5464C" w:rsidRDefault="007052F3" w:rsidP="006E5C5F">
            <w:pPr>
              <w:pStyle w:val="Normal1"/>
              <w:contextualSpacing w:val="0"/>
              <w:jc w:val="center"/>
              <w:rPr>
                <w:rFonts w:ascii="Calibri" w:eastAsia="Calibri" w:hAnsi="Calibri" w:cs="Calibri"/>
                <w:b/>
                <w:sz w:val="20"/>
                <w:szCs w:val="20"/>
              </w:rPr>
            </w:pPr>
            <w:r w:rsidRPr="00B5464C">
              <w:rPr>
                <w:rFonts w:ascii="Calibri" w:eastAsia="Calibri" w:hAnsi="Calibri" w:cs="Calibri"/>
                <w:b/>
                <w:sz w:val="20"/>
                <w:szCs w:val="20"/>
              </w:rPr>
              <w:t>Definiti</w:t>
            </w:r>
            <w:r w:rsidR="00075CBA" w:rsidRPr="00B5464C">
              <w:rPr>
                <w:rFonts w:ascii="Calibri" w:eastAsia="Calibri" w:hAnsi="Calibri" w:cs="Calibri"/>
                <w:b/>
                <w:sz w:val="20"/>
                <w:szCs w:val="20"/>
              </w:rPr>
              <w:t>on</w:t>
            </w:r>
          </w:p>
        </w:tc>
        <w:tc>
          <w:tcPr>
            <w:tcW w:w="3544" w:type="dxa"/>
            <w:shd w:val="clear" w:color="auto" w:fill="BFBFBF" w:themeFill="background1" w:themeFillShade="BF"/>
          </w:tcPr>
          <w:p w14:paraId="32C52B08" w14:textId="494BB001" w:rsidR="00075CBA" w:rsidRPr="00B5464C" w:rsidRDefault="00075CBA" w:rsidP="006E5C5F">
            <w:pPr>
              <w:pStyle w:val="Normal1"/>
              <w:contextualSpacing w:val="0"/>
              <w:jc w:val="center"/>
              <w:rPr>
                <w:rFonts w:ascii="Calibri" w:eastAsia="Calibri" w:hAnsi="Calibri" w:cs="Calibri"/>
                <w:b/>
                <w:sz w:val="20"/>
                <w:szCs w:val="20"/>
              </w:rPr>
            </w:pPr>
            <w:r w:rsidRPr="00B5464C">
              <w:rPr>
                <w:rFonts w:ascii="Calibri" w:eastAsia="Calibri" w:hAnsi="Calibri" w:cs="Calibri"/>
                <w:b/>
                <w:sz w:val="20"/>
                <w:szCs w:val="20"/>
              </w:rPr>
              <w:t>Example</w:t>
            </w:r>
          </w:p>
        </w:tc>
        <w:tc>
          <w:tcPr>
            <w:tcW w:w="2407" w:type="dxa"/>
            <w:shd w:val="clear" w:color="auto" w:fill="BFBFBF" w:themeFill="background1" w:themeFillShade="BF"/>
          </w:tcPr>
          <w:p w14:paraId="51109A10" w14:textId="77ABE5C9" w:rsidR="00075CBA" w:rsidRPr="00B5464C" w:rsidRDefault="00075CBA" w:rsidP="006E5C5F">
            <w:pPr>
              <w:pStyle w:val="Normal1"/>
              <w:contextualSpacing w:val="0"/>
              <w:jc w:val="center"/>
              <w:rPr>
                <w:rFonts w:ascii="Calibri" w:eastAsia="Calibri" w:hAnsi="Calibri" w:cs="Calibri"/>
                <w:b/>
                <w:sz w:val="20"/>
                <w:szCs w:val="20"/>
              </w:rPr>
            </w:pPr>
            <w:r w:rsidRPr="00B5464C">
              <w:rPr>
                <w:rFonts w:ascii="Calibri" w:eastAsia="Calibri" w:hAnsi="Calibri" w:cs="Calibri"/>
                <w:b/>
                <w:sz w:val="20"/>
                <w:szCs w:val="20"/>
              </w:rPr>
              <w:t>Mitigation</w:t>
            </w:r>
          </w:p>
        </w:tc>
      </w:tr>
      <w:tr w:rsidR="00242815" w:rsidRPr="00EC52A2" w14:paraId="7CEB6C50" w14:textId="77777777" w:rsidTr="00242815">
        <w:tc>
          <w:tcPr>
            <w:tcW w:w="1809" w:type="dxa"/>
            <w:shd w:val="clear" w:color="auto" w:fill="F2F2F2" w:themeFill="background1" w:themeFillShade="F2"/>
          </w:tcPr>
          <w:p w14:paraId="7758808E" w14:textId="5D9C1925" w:rsidR="00242815" w:rsidRPr="00EC52A2" w:rsidRDefault="00242815" w:rsidP="00242815">
            <w:pPr>
              <w:pStyle w:val="Normal1"/>
              <w:contextualSpacing w:val="0"/>
              <w:rPr>
                <w:rFonts w:ascii="Calibri" w:eastAsia="Calibri" w:hAnsi="Calibri" w:cs="Calibri"/>
                <w:sz w:val="20"/>
                <w:szCs w:val="20"/>
              </w:rPr>
            </w:pPr>
            <w:r w:rsidRPr="00EC52A2">
              <w:rPr>
                <w:rFonts w:ascii="Calibri" w:eastAsia="Calibri" w:hAnsi="Calibri" w:cs="Calibri"/>
                <w:sz w:val="20"/>
                <w:szCs w:val="20"/>
              </w:rPr>
              <w:t>Double Claiming</w:t>
            </w:r>
            <w:r>
              <w:rPr>
                <w:rStyle w:val="FootnoteReference"/>
                <w:rFonts w:ascii="Calibri" w:eastAsia="Calibri" w:hAnsi="Calibri" w:cs="Calibri"/>
                <w:sz w:val="20"/>
                <w:szCs w:val="20"/>
              </w:rPr>
              <w:footnoteReference w:id="1"/>
            </w:r>
          </w:p>
        </w:tc>
        <w:tc>
          <w:tcPr>
            <w:tcW w:w="2410" w:type="dxa"/>
            <w:shd w:val="clear" w:color="auto" w:fill="F2F2F2" w:themeFill="background1" w:themeFillShade="F2"/>
          </w:tcPr>
          <w:p w14:paraId="1948AC71" w14:textId="77777777" w:rsidR="00242815" w:rsidRPr="00EC52A2" w:rsidRDefault="00242815" w:rsidP="00242815">
            <w:pPr>
              <w:pStyle w:val="Normal1"/>
              <w:contextualSpacing w:val="0"/>
              <w:rPr>
                <w:rFonts w:ascii="Calibri" w:eastAsia="Calibri" w:hAnsi="Calibri" w:cs="Calibri"/>
                <w:sz w:val="20"/>
                <w:szCs w:val="20"/>
              </w:rPr>
            </w:pPr>
            <w:r w:rsidRPr="00EC52A2">
              <w:rPr>
                <w:rFonts w:ascii="Calibri" w:eastAsia="Calibri" w:hAnsi="Calibri" w:cs="Calibri"/>
                <w:sz w:val="20"/>
                <w:szCs w:val="20"/>
              </w:rPr>
              <w:t xml:space="preserve">Wherein the </w:t>
            </w:r>
            <w:r>
              <w:rPr>
                <w:rFonts w:ascii="Calibri" w:eastAsia="Calibri" w:hAnsi="Calibri" w:cs="Calibri"/>
                <w:sz w:val="20"/>
                <w:szCs w:val="20"/>
              </w:rPr>
              <w:t>GHG</w:t>
            </w:r>
            <w:r w:rsidRPr="00EC52A2">
              <w:rPr>
                <w:rFonts w:ascii="Calibri" w:eastAsia="Calibri" w:hAnsi="Calibri" w:cs="Calibri"/>
                <w:sz w:val="20"/>
                <w:szCs w:val="20"/>
              </w:rPr>
              <w:t xml:space="preserve"> benefits are claimed by multiple parties</w:t>
            </w:r>
          </w:p>
        </w:tc>
        <w:tc>
          <w:tcPr>
            <w:tcW w:w="3544" w:type="dxa"/>
            <w:shd w:val="clear" w:color="auto" w:fill="F2F2F2" w:themeFill="background1" w:themeFillShade="F2"/>
          </w:tcPr>
          <w:p w14:paraId="140C3169" w14:textId="77777777" w:rsidR="00242815" w:rsidRPr="00EC52A2" w:rsidRDefault="00242815" w:rsidP="00242815">
            <w:pPr>
              <w:pStyle w:val="Normal1"/>
              <w:contextualSpacing w:val="0"/>
              <w:rPr>
                <w:rFonts w:ascii="Calibri" w:eastAsia="Calibri" w:hAnsi="Calibri" w:cs="Calibri"/>
                <w:sz w:val="20"/>
                <w:szCs w:val="20"/>
              </w:rPr>
            </w:pPr>
            <w:r w:rsidRPr="00EC52A2">
              <w:rPr>
                <w:rFonts w:ascii="Calibri" w:eastAsia="Calibri" w:hAnsi="Calibri" w:cs="Calibri"/>
                <w:sz w:val="20"/>
                <w:szCs w:val="20"/>
              </w:rPr>
              <w:t>Where a G</w:t>
            </w:r>
            <w:r>
              <w:rPr>
                <w:rFonts w:ascii="Calibri" w:eastAsia="Calibri" w:hAnsi="Calibri" w:cs="Calibri"/>
                <w:sz w:val="20"/>
                <w:szCs w:val="20"/>
              </w:rPr>
              <w:t>old Standard</w:t>
            </w:r>
            <w:r w:rsidRPr="00EC52A2">
              <w:rPr>
                <w:rFonts w:ascii="Calibri" w:eastAsia="Calibri" w:hAnsi="Calibri" w:cs="Calibri"/>
                <w:sz w:val="20"/>
                <w:szCs w:val="20"/>
              </w:rPr>
              <w:t xml:space="preserve"> VER is </w:t>
            </w:r>
            <w:r>
              <w:rPr>
                <w:rFonts w:ascii="Calibri" w:eastAsia="Calibri" w:hAnsi="Calibri" w:cs="Calibri"/>
                <w:sz w:val="20"/>
                <w:szCs w:val="20"/>
              </w:rPr>
              <w:t>i</w:t>
            </w:r>
            <w:r w:rsidRPr="00EC52A2">
              <w:rPr>
                <w:rFonts w:ascii="Calibri" w:eastAsia="Calibri" w:hAnsi="Calibri" w:cs="Calibri"/>
                <w:sz w:val="20"/>
                <w:szCs w:val="20"/>
              </w:rPr>
              <w:t xml:space="preserve">ssued and used to demonstrate carbon neutrality of a manufacturer and also its product.  The </w:t>
            </w:r>
            <w:proofErr w:type="gramStart"/>
            <w:r w:rsidRPr="00EC52A2">
              <w:rPr>
                <w:rFonts w:ascii="Calibri" w:eastAsia="Calibri" w:hAnsi="Calibri" w:cs="Calibri"/>
                <w:sz w:val="20"/>
                <w:szCs w:val="20"/>
              </w:rPr>
              <w:t>carbon neutrality of the product may also be claimed by the product purchaser</w:t>
            </w:r>
            <w:proofErr w:type="gramEnd"/>
            <w:r w:rsidRPr="00EC52A2">
              <w:rPr>
                <w:rFonts w:ascii="Calibri" w:eastAsia="Calibri" w:hAnsi="Calibri" w:cs="Calibri"/>
                <w:sz w:val="20"/>
                <w:szCs w:val="20"/>
              </w:rPr>
              <w:t>.</w:t>
            </w:r>
          </w:p>
        </w:tc>
        <w:tc>
          <w:tcPr>
            <w:tcW w:w="2407" w:type="dxa"/>
            <w:shd w:val="clear" w:color="auto" w:fill="F2F2F2" w:themeFill="background1" w:themeFillShade="F2"/>
          </w:tcPr>
          <w:p w14:paraId="32D05220" w14:textId="77777777" w:rsidR="00242815" w:rsidRPr="00EC52A2" w:rsidRDefault="00242815" w:rsidP="00242815">
            <w:pPr>
              <w:pStyle w:val="Normal1"/>
              <w:contextualSpacing w:val="0"/>
              <w:rPr>
                <w:rFonts w:ascii="Calibri" w:eastAsia="Calibri" w:hAnsi="Calibri" w:cs="Calibri"/>
                <w:sz w:val="20"/>
                <w:szCs w:val="20"/>
              </w:rPr>
            </w:pPr>
            <w:r w:rsidRPr="00EC52A2">
              <w:rPr>
                <w:rFonts w:ascii="Calibri" w:eastAsia="Calibri" w:hAnsi="Calibri" w:cs="Calibri"/>
                <w:sz w:val="20"/>
                <w:szCs w:val="20"/>
              </w:rPr>
              <w:t xml:space="preserve">Not considered </w:t>
            </w:r>
            <w:r>
              <w:rPr>
                <w:rFonts w:ascii="Calibri" w:eastAsia="Calibri" w:hAnsi="Calibri" w:cs="Calibri"/>
                <w:sz w:val="20"/>
                <w:szCs w:val="20"/>
              </w:rPr>
              <w:t>‘</w:t>
            </w:r>
            <w:r w:rsidRPr="00EC52A2">
              <w:rPr>
                <w:rFonts w:ascii="Calibri" w:eastAsia="Calibri" w:hAnsi="Calibri" w:cs="Calibri"/>
                <w:sz w:val="20"/>
                <w:szCs w:val="20"/>
              </w:rPr>
              <w:t>double counting</w:t>
            </w:r>
            <w:r>
              <w:rPr>
                <w:rFonts w:ascii="Calibri" w:eastAsia="Calibri" w:hAnsi="Calibri" w:cs="Calibri"/>
                <w:sz w:val="20"/>
                <w:szCs w:val="20"/>
              </w:rPr>
              <w:t>’</w:t>
            </w:r>
            <w:r w:rsidRPr="00EC52A2">
              <w:rPr>
                <w:rFonts w:ascii="Calibri" w:eastAsia="Calibri" w:hAnsi="Calibri" w:cs="Calibri"/>
                <w:sz w:val="20"/>
                <w:szCs w:val="20"/>
              </w:rPr>
              <w:t xml:space="preserve">, </w:t>
            </w:r>
            <w:r>
              <w:rPr>
                <w:rFonts w:ascii="Calibri" w:eastAsia="Calibri" w:hAnsi="Calibri" w:cs="Calibri"/>
                <w:sz w:val="20"/>
                <w:szCs w:val="20"/>
              </w:rPr>
              <w:t xml:space="preserve">as long as not double monetized, </w:t>
            </w:r>
            <w:r w:rsidRPr="00EC52A2">
              <w:rPr>
                <w:rFonts w:ascii="Calibri" w:eastAsia="Calibri" w:hAnsi="Calibri" w:cs="Calibri"/>
                <w:sz w:val="20"/>
                <w:szCs w:val="20"/>
              </w:rPr>
              <w:t>no rule change proposed.</w:t>
            </w:r>
          </w:p>
        </w:tc>
      </w:tr>
      <w:tr w:rsidR="00242815" w:rsidRPr="00EC52A2" w14:paraId="590C1D92" w14:textId="77777777" w:rsidTr="00242815">
        <w:tc>
          <w:tcPr>
            <w:tcW w:w="1809" w:type="dxa"/>
          </w:tcPr>
          <w:p w14:paraId="48E33DBF" w14:textId="77777777" w:rsidR="00242815" w:rsidRPr="00EC52A2" w:rsidRDefault="00242815" w:rsidP="00242815">
            <w:pPr>
              <w:pStyle w:val="Normal1"/>
              <w:contextualSpacing w:val="0"/>
              <w:rPr>
                <w:rFonts w:ascii="Calibri" w:eastAsia="Calibri" w:hAnsi="Calibri" w:cs="Calibri"/>
                <w:sz w:val="20"/>
                <w:szCs w:val="20"/>
              </w:rPr>
            </w:pPr>
            <w:r w:rsidRPr="00EC52A2">
              <w:rPr>
                <w:rFonts w:ascii="Calibri" w:eastAsia="Calibri" w:hAnsi="Calibri" w:cs="Calibri"/>
                <w:sz w:val="20"/>
                <w:szCs w:val="20"/>
              </w:rPr>
              <w:t>Double Selling</w:t>
            </w:r>
          </w:p>
        </w:tc>
        <w:tc>
          <w:tcPr>
            <w:tcW w:w="2410" w:type="dxa"/>
          </w:tcPr>
          <w:p w14:paraId="50C49304" w14:textId="77777777" w:rsidR="00242815" w:rsidRPr="00EC52A2" w:rsidRDefault="00242815" w:rsidP="00242815">
            <w:pPr>
              <w:pStyle w:val="Normal1"/>
              <w:contextualSpacing w:val="0"/>
              <w:rPr>
                <w:rFonts w:ascii="Calibri" w:eastAsia="Calibri" w:hAnsi="Calibri" w:cs="Calibri"/>
                <w:sz w:val="20"/>
                <w:szCs w:val="20"/>
              </w:rPr>
            </w:pPr>
            <w:r w:rsidRPr="00EC52A2">
              <w:rPr>
                <w:rFonts w:ascii="Calibri" w:eastAsia="Calibri" w:hAnsi="Calibri" w:cs="Calibri"/>
                <w:sz w:val="20"/>
                <w:szCs w:val="20"/>
              </w:rPr>
              <w:t xml:space="preserve">Wherein the </w:t>
            </w:r>
            <w:r>
              <w:rPr>
                <w:rFonts w:ascii="Calibri" w:eastAsia="Calibri" w:hAnsi="Calibri" w:cs="Calibri"/>
                <w:sz w:val="20"/>
                <w:szCs w:val="20"/>
              </w:rPr>
              <w:t>GHG</w:t>
            </w:r>
            <w:r w:rsidRPr="00EC52A2">
              <w:rPr>
                <w:rFonts w:ascii="Calibri" w:eastAsia="Calibri" w:hAnsi="Calibri" w:cs="Calibri"/>
                <w:sz w:val="20"/>
                <w:szCs w:val="20"/>
              </w:rPr>
              <w:t xml:space="preserve"> benefit is sold multiple times by the same entity.</w:t>
            </w:r>
          </w:p>
        </w:tc>
        <w:tc>
          <w:tcPr>
            <w:tcW w:w="3544" w:type="dxa"/>
          </w:tcPr>
          <w:p w14:paraId="2048D6FF" w14:textId="77777777" w:rsidR="00242815" w:rsidRPr="00EC52A2" w:rsidRDefault="00242815" w:rsidP="00242815">
            <w:pPr>
              <w:pStyle w:val="Normal1"/>
              <w:contextualSpacing w:val="0"/>
              <w:rPr>
                <w:rFonts w:ascii="Calibri" w:eastAsia="Calibri" w:hAnsi="Calibri" w:cs="Calibri"/>
                <w:sz w:val="20"/>
                <w:szCs w:val="20"/>
              </w:rPr>
            </w:pPr>
            <w:r w:rsidRPr="00EC52A2">
              <w:rPr>
                <w:rFonts w:ascii="Calibri" w:eastAsia="Calibri" w:hAnsi="Calibri" w:cs="Calibri"/>
                <w:sz w:val="20"/>
                <w:szCs w:val="20"/>
              </w:rPr>
              <w:t>Where the owner of a G</w:t>
            </w:r>
            <w:r>
              <w:rPr>
                <w:rFonts w:ascii="Calibri" w:eastAsia="Calibri" w:hAnsi="Calibri" w:cs="Calibri"/>
                <w:sz w:val="20"/>
                <w:szCs w:val="20"/>
              </w:rPr>
              <w:t>old Standard</w:t>
            </w:r>
            <w:r w:rsidRPr="00EC52A2">
              <w:rPr>
                <w:rFonts w:ascii="Calibri" w:eastAsia="Calibri" w:hAnsi="Calibri" w:cs="Calibri"/>
                <w:sz w:val="20"/>
                <w:szCs w:val="20"/>
              </w:rPr>
              <w:t xml:space="preserve"> VER trades the same asset multiple times.  Alternatively where a G</w:t>
            </w:r>
            <w:r>
              <w:rPr>
                <w:rFonts w:ascii="Calibri" w:eastAsia="Calibri" w:hAnsi="Calibri" w:cs="Calibri"/>
                <w:sz w:val="20"/>
                <w:szCs w:val="20"/>
              </w:rPr>
              <w:t>old Standard</w:t>
            </w:r>
            <w:r w:rsidRPr="00EC52A2">
              <w:rPr>
                <w:rFonts w:ascii="Calibri" w:eastAsia="Calibri" w:hAnsi="Calibri" w:cs="Calibri"/>
                <w:sz w:val="20"/>
                <w:szCs w:val="20"/>
              </w:rPr>
              <w:t xml:space="preserve"> VER is also sold separately as a REC.</w:t>
            </w:r>
          </w:p>
        </w:tc>
        <w:tc>
          <w:tcPr>
            <w:tcW w:w="2407" w:type="dxa"/>
          </w:tcPr>
          <w:p w14:paraId="256CC69C" w14:textId="7618E762" w:rsidR="00242815" w:rsidRPr="00EC52A2" w:rsidRDefault="00242815" w:rsidP="00242815">
            <w:pPr>
              <w:pStyle w:val="Normal1"/>
              <w:contextualSpacing w:val="0"/>
              <w:rPr>
                <w:rFonts w:ascii="Calibri" w:eastAsia="Calibri" w:hAnsi="Calibri" w:cs="Calibri"/>
                <w:sz w:val="20"/>
                <w:szCs w:val="20"/>
              </w:rPr>
            </w:pPr>
            <w:r w:rsidRPr="00EC52A2">
              <w:rPr>
                <w:rFonts w:ascii="Calibri" w:eastAsia="Calibri" w:hAnsi="Calibri" w:cs="Calibri"/>
                <w:sz w:val="20"/>
                <w:szCs w:val="20"/>
              </w:rPr>
              <w:t>Existing G</w:t>
            </w:r>
            <w:r>
              <w:rPr>
                <w:rFonts w:ascii="Calibri" w:eastAsia="Calibri" w:hAnsi="Calibri" w:cs="Calibri"/>
                <w:sz w:val="20"/>
                <w:szCs w:val="20"/>
              </w:rPr>
              <w:t>old Standard</w:t>
            </w:r>
            <w:r w:rsidRPr="00EC52A2">
              <w:rPr>
                <w:rFonts w:ascii="Calibri" w:eastAsia="Calibri" w:hAnsi="Calibri" w:cs="Calibri"/>
                <w:sz w:val="20"/>
                <w:szCs w:val="20"/>
              </w:rPr>
              <w:t xml:space="preserve"> Registry procedures and rules to track ownership and retirement</w:t>
            </w:r>
            <w:r>
              <w:rPr>
                <w:rFonts w:ascii="Calibri" w:eastAsia="Calibri" w:hAnsi="Calibri" w:cs="Calibri"/>
                <w:sz w:val="20"/>
                <w:szCs w:val="20"/>
              </w:rPr>
              <w:t xml:space="preserve"> provide for transparency in this respect.  GS does not police the activity of retailers beyond the GS Registry.  No change proposed within this guideline. </w:t>
            </w:r>
          </w:p>
        </w:tc>
      </w:tr>
      <w:tr w:rsidR="00242815" w:rsidRPr="00EC52A2" w14:paraId="6A3AB2CD" w14:textId="77777777" w:rsidTr="00242815">
        <w:tc>
          <w:tcPr>
            <w:tcW w:w="1809" w:type="dxa"/>
            <w:shd w:val="clear" w:color="auto" w:fill="F2F2F2" w:themeFill="background1" w:themeFillShade="F2"/>
          </w:tcPr>
          <w:p w14:paraId="46D27953" w14:textId="77777777" w:rsidR="00242815" w:rsidRPr="00EC52A2" w:rsidRDefault="00242815" w:rsidP="00242815">
            <w:pPr>
              <w:pStyle w:val="Normal1"/>
              <w:contextualSpacing w:val="0"/>
              <w:rPr>
                <w:rFonts w:ascii="Calibri" w:eastAsia="Calibri" w:hAnsi="Calibri" w:cs="Calibri"/>
                <w:sz w:val="20"/>
                <w:szCs w:val="20"/>
              </w:rPr>
            </w:pPr>
            <w:r w:rsidRPr="00EC52A2">
              <w:rPr>
                <w:rFonts w:ascii="Calibri" w:eastAsia="Calibri" w:hAnsi="Calibri" w:cs="Calibri"/>
                <w:sz w:val="20"/>
                <w:szCs w:val="20"/>
              </w:rPr>
              <w:t xml:space="preserve">Double Accounting </w:t>
            </w:r>
          </w:p>
        </w:tc>
        <w:tc>
          <w:tcPr>
            <w:tcW w:w="2410" w:type="dxa"/>
            <w:shd w:val="clear" w:color="auto" w:fill="F2F2F2" w:themeFill="background1" w:themeFillShade="F2"/>
          </w:tcPr>
          <w:p w14:paraId="1385437D" w14:textId="77777777" w:rsidR="00242815" w:rsidRPr="00EC52A2" w:rsidRDefault="00242815" w:rsidP="00242815">
            <w:pPr>
              <w:pStyle w:val="Normal1"/>
              <w:contextualSpacing w:val="0"/>
              <w:rPr>
                <w:rFonts w:ascii="Calibri" w:eastAsia="Calibri" w:hAnsi="Calibri" w:cs="Calibri"/>
                <w:sz w:val="20"/>
                <w:szCs w:val="20"/>
              </w:rPr>
            </w:pPr>
            <w:r w:rsidRPr="00EC52A2">
              <w:rPr>
                <w:rFonts w:ascii="Calibri" w:eastAsia="Calibri" w:hAnsi="Calibri" w:cs="Calibri"/>
                <w:sz w:val="20"/>
                <w:szCs w:val="20"/>
              </w:rPr>
              <w:t xml:space="preserve">Wherein the </w:t>
            </w:r>
            <w:r>
              <w:rPr>
                <w:rFonts w:ascii="Calibri" w:eastAsia="Calibri" w:hAnsi="Calibri" w:cs="Calibri"/>
                <w:sz w:val="20"/>
                <w:szCs w:val="20"/>
              </w:rPr>
              <w:t>GHG</w:t>
            </w:r>
            <w:r w:rsidRPr="00EC52A2">
              <w:rPr>
                <w:rFonts w:ascii="Calibri" w:eastAsia="Calibri" w:hAnsi="Calibri" w:cs="Calibri"/>
                <w:sz w:val="20"/>
                <w:szCs w:val="20"/>
              </w:rPr>
              <w:t xml:space="preserve"> benefits are accounted for on multiple occasions.</w:t>
            </w:r>
          </w:p>
        </w:tc>
        <w:tc>
          <w:tcPr>
            <w:tcW w:w="3544" w:type="dxa"/>
            <w:shd w:val="clear" w:color="auto" w:fill="F2F2F2" w:themeFill="background1" w:themeFillShade="F2"/>
          </w:tcPr>
          <w:p w14:paraId="7A7AE02F" w14:textId="77777777" w:rsidR="00242815" w:rsidRPr="00EC52A2" w:rsidRDefault="00242815" w:rsidP="00242815">
            <w:pPr>
              <w:pStyle w:val="Normal1"/>
              <w:contextualSpacing w:val="0"/>
              <w:rPr>
                <w:rFonts w:ascii="Calibri" w:eastAsia="Calibri" w:hAnsi="Calibri" w:cs="Calibri"/>
                <w:sz w:val="20"/>
                <w:szCs w:val="20"/>
              </w:rPr>
            </w:pPr>
            <w:r w:rsidRPr="00EC52A2">
              <w:rPr>
                <w:rFonts w:ascii="Calibri" w:eastAsia="Calibri" w:hAnsi="Calibri" w:cs="Calibri"/>
                <w:sz w:val="20"/>
                <w:szCs w:val="20"/>
              </w:rPr>
              <w:t>Where a G</w:t>
            </w:r>
            <w:r>
              <w:rPr>
                <w:rFonts w:ascii="Calibri" w:eastAsia="Calibri" w:hAnsi="Calibri" w:cs="Calibri"/>
                <w:sz w:val="20"/>
                <w:szCs w:val="20"/>
              </w:rPr>
              <w:t>old Standard</w:t>
            </w:r>
            <w:r w:rsidRPr="00EC52A2">
              <w:rPr>
                <w:rFonts w:ascii="Calibri" w:eastAsia="Calibri" w:hAnsi="Calibri" w:cs="Calibri"/>
                <w:sz w:val="20"/>
                <w:szCs w:val="20"/>
              </w:rPr>
              <w:t xml:space="preserve"> VER is issued in a country or region where an accounting/reporting procedure exists for </w:t>
            </w:r>
            <w:r>
              <w:rPr>
                <w:rFonts w:ascii="Calibri" w:eastAsia="Calibri" w:hAnsi="Calibri" w:cs="Calibri"/>
                <w:sz w:val="20"/>
                <w:szCs w:val="20"/>
              </w:rPr>
              <w:t>GHG</w:t>
            </w:r>
            <w:r w:rsidRPr="00EC52A2">
              <w:rPr>
                <w:rFonts w:ascii="Calibri" w:eastAsia="Calibri" w:hAnsi="Calibri" w:cs="Calibri"/>
                <w:sz w:val="20"/>
                <w:szCs w:val="20"/>
              </w:rPr>
              <w:t xml:space="preserve"> emissions (for example a carbon tax, national account or in the future INDCs).  </w:t>
            </w:r>
            <w:r w:rsidRPr="00EC52A2">
              <w:rPr>
                <w:rFonts w:ascii="Calibri" w:eastAsia="Calibri" w:hAnsi="Calibri" w:cs="Calibri"/>
                <w:sz w:val="20"/>
                <w:szCs w:val="20"/>
              </w:rPr>
              <w:br/>
            </w:r>
            <w:r>
              <w:rPr>
                <w:rFonts w:ascii="Calibri" w:eastAsia="Calibri" w:hAnsi="Calibri" w:cs="Calibri"/>
                <w:sz w:val="20"/>
                <w:szCs w:val="20"/>
              </w:rPr>
              <w:br/>
            </w:r>
            <w:r w:rsidRPr="00EC52A2">
              <w:rPr>
                <w:rFonts w:ascii="Calibri" w:eastAsia="Calibri" w:hAnsi="Calibri" w:cs="Calibri"/>
                <w:sz w:val="20"/>
                <w:szCs w:val="20"/>
              </w:rPr>
              <w:t xml:space="preserve">The </w:t>
            </w:r>
            <w:r>
              <w:rPr>
                <w:rFonts w:ascii="Calibri" w:eastAsia="Calibri" w:hAnsi="Calibri" w:cs="Calibri"/>
                <w:sz w:val="20"/>
                <w:szCs w:val="20"/>
              </w:rPr>
              <w:t>GHG benefit</w:t>
            </w:r>
            <w:r w:rsidRPr="00EC52A2">
              <w:rPr>
                <w:rFonts w:ascii="Calibri" w:eastAsia="Calibri" w:hAnsi="Calibri" w:cs="Calibri"/>
                <w:sz w:val="20"/>
                <w:szCs w:val="20"/>
              </w:rPr>
              <w:t xml:space="preserve"> </w:t>
            </w:r>
            <w:r>
              <w:rPr>
                <w:rFonts w:ascii="Calibri" w:eastAsia="Calibri" w:hAnsi="Calibri" w:cs="Calibri"/>
                <w:sz w:val="20"/>
                <w:szCs w:val="20"/>
              </w:rPr>
              <w:t>is accounted under</w:t>
            </w:r>
            <w:r w:rsidRPr="00EC52A2">
              <w:rPr>
                <w:rFonts w:ascii="Calibri" w:eastAsia="Calibri" w:hAnsi="Calibri" w:cs="Calibri"/>
                <w:sz w:val="20"/>
                <w:szCs w:val="20"/>
              </w:rPr>
              <w:t xml:space="preserve"> G</w:t>
            </w:r>
            <w:r>
              <w:rPr>
                <w:rFonts w:ascii="Calibri" w:eastAsia="Calibri" w:hAnsi="Calibri" w:cs="Calibri"/>
                <w:sz w:val="20"/>
                <w:szCs w:val="20"/>
              </w:rPr>
              <w:t>old Standard</w:t>
            </w:r>
            <w:r w:rsidRPr="00EC52A2">
              <w:rPr>
                <w:rFonts w:ascii="Calibri" w:eastAsia="Calibri" w:hAnsi="Calibri" w:cs="Calibri"/>
                <w:sz w:val="20"/>
                <w:szCs w:val="20"/>
              </w:rPr>
              <w:t xml:space="preserve"> and within the </w:t>
            </w:r>
            <w:r>
              <w:rPr>
                <w:rFonts w:ascii="Calibri" w:eastAsia="Calibri" w:hAnsi="Calibri" w:cs="Calibri"/>
                <w:sz w:val="20"/>
                <w:szCs w:val="20"/>
              </w:rPr>
              <w:t xml:space="preserve">country or regional </w:t>
            </w:r>
            <w:r w:rsidRPr="00EC52A2">
              <w:rPr>
                <w:rFonts w:ascii="Calibri" w:eastAsia="Calibri" w:hAnsi="Calibri" w:cs="Calibri"/>
                <w:sz w:val="20"/>
                <w:szCs w:val="20"/>
              </w:rPr>
              <w:t>accounting system.</w:t>
            </w:r>
          </w:p>
        </w:tc>
        <w:tc>
          <w:tcPr>
            <w:tcW w:w="2407" w:type="dxa"/>
            <w:shd w:val="clear" w:color="auto" w:fill="F2F2F2" w:themeFill="background1" w:themeFillShade="F2"/>
          </w:tcPr>
          <w:p w14:paraId="56F759BE" w14:textId="77777777" w:rsidR="00242815" w:rsidRPr="00EC52A2" w:rsidRDefault="00242815" w:rsidP="00242815">
            <w:pPr>
              <w:pStyle w:val="Normal1"/>
              <w:contextualSpacing w:val="0"/>
              <w:rPr>
                <w:rFonts w:ascii="Calibri" w:eastAsia="Calibri" w:hAnsi="Calibri" w:cs="Calibri"/>
                <w:sz w:val="20"/>
                <w:szCs w:val="20"/>
              </w:rPr>
            </w:pPr>
            <w:r w:rsidRPr="00EC52A2">
              <w:rPr>
                <w:rFonts w:ascii="Calibri" w:eastAsia="Calibri" w:hAnsi="Calibri" w:cs="Calibri"/>
                <w:sz w:val="20"/>
                <w:szCs w:val="20"/>
              </w:rPr>
              <w:t xml:space="preserve">Unless formalised within a cap and trade style system (see Double Monetisation) then this ‘double </w:t>
            </w:r>
            <w:r>
              <w:rPr>
                <w:rFonts w:ascii="Calibri" w:eastAsia="Calibri" w:hAnsi="Calibri" w:cs="Calibri"/>
                <w:sz w:val="20"/>
                <w:szCs w:val="20"/>
              </w:rPr>
              <w:t>accounting</w:t>
            </w:r>
            <w:r w:rsidRPr="00EC52A2">
              <w:rPr>
                <w:rFonts w:ascii="Calibri" w:eastAsia="Calibri" w:hAnsi="Calibri" w:cs="Calibri"/>
                <w:sz w:val="20"/>
                <w:szCs w:val="20"/>
              </w:rPr>
              <w:t xml:space="preserve">’ is not considered possible to police at this time due to the fragmentation/lack of transparency in these mechanisms.  </w:t>
            </w:r>
            <w:r>
              <w:rPr>
                <w:rFonts w:ascii="Calibri" w:eastAsia="Calibri" w:hAnsi="Calibri" w:cs="Calibri"/>
                <w:sz w:val="20"/>
                <w:szCs w:val="20"/>
              </w:rPr>
              <w:t>Gold Standard</w:t>
            </w:r>
            <w:r w:rsidRPr="00EC52A2">
              <w:rPr>
                <w:rFonts w:ascii="Calibri" w:eastAsia="Calibri" w:hAnsi="Calibri" w:cs="Calibri"/>
                <w:sz w:val="20"/>
                <w:szCs w:val="20"/>
              </w:rPr>
              <w:t xml:space="preserve"> will monitor developments closely and instigate further rule changes as needed.</w:t>
            </w:r>
          </w:p>
        </w:tc>
      </w:tr>
      <w:tr w:rsidR="00075CBA" w:rsidRPr="00EC52A2" w14:paraId="1B40C09E" w14:textId="77777777" w:rsidTr="00F13012">
        <w:tc>
          <w:tcPr>
            <w:tcW w:w="1809" w:type="dxa"/>
          </w:tcPr>
          <w:p w14:paraId="7B44495F" w14:textId="27F35972" w:rsidR="00000FAB" w:rsidRPr="00EC52A2" w:rsidRDefault="00075CBA" w:rsidP="006E5C5F">
            <w:pPr>
              <w:pStyle w:val="Normal1"/>
              <w:contextualSpacing w:val="0"/>
              <w:rPr>
                <w:rFonts w:ascii="Calibri" w:eastAsia="Calibri" w:hAnsi="Calibri" w:cs="Calibri"/>
                <w:sz w:val="20"/>
                <w:szCs w:val="20"/>
              </w:rPr>
            </w:pPr>
            <w:r w:rsidRPr="00EC52A2">
              <w:rPr>
                <w:rFonts w:ascii="Calibri" w:eastAsia="Calibri" w:hAnsi="Calibri" w:cs="Calibri"/>
                <w:sz w:val="20"/>
                <w:szCs w:val="20"/>
              </w:rPr>
              <w:t>Double</w:t>
            </w:r>
          </w:p>
          <w:p w14:paraId="004ECAA5" w14:textId="05BFACAA" w:rsidR="00075CBA" w:rsidRPr="00EC52A2" w:rsidRDefault="00000FAB" w:rsidP="006E5C5F">
            <w:pPr>
              <w:pStyle w:val="Normal1"/>
              <w:contextualSpacing w:val="0"/>
              <w:rPr>
                <w:rFonts w:ascii="Calibri" w:eastAsia="Calibri" w:hAnsi="Calibri" w:cs="Calibri"/>
                <w:sz w:val="20"/>
                <w:szCs w:val="20"/>
              </w:rPr>
            </w:pPr>
            <w:r w:rsidRPr="00EC52A2">
              <w:rPr>
                <w:rFonts w:ascii="Calibri" w:eastAsia="Calibri" w:hAnsi="Calibri" w:cs="Calibri"/>
                <w:sz w:val="20"/>
                <w:szCs w:val="20"/>
              </w:rPr>
              <w:t xml:space="preserve">Monetization </w:t>
            </w:r>
          </w:p>
        </w:tc>
        <w:tc>
          <w:tcPr>
            <w:tcW w:w="2410" w:type="dxa"/>
          </w:tcPr>
          <w:p w14:paraId="69C0DE7A" w14:textId="4F1D2A2D" w:rsidR="00075CBA" w:rsidRPr="00EC52A2" w:rsidRDefault="00075CBA" w:rsidP="00F13012">
            <w:pPr>
              <w:pStyle w:val="Normal1"/>
              <w:contextualSpacing w:val="0"/>
              <w:rPr>
                <w:rFonts w:ascii="Calibri" w:eastAsia="Calibri" w:hAnsi="Calibri" w:cs="Calibri"/>
                <w:sz w:val="20"/>
                <w:szCs w:val="20"/>
              </w:rPr>
            </w:pPr>
            <w:r w:rsidRPr="00EC52A2">
              <w:rPr>
                <w:rFonts w:ascii="Calibri" w:eastAsia="Calibri" w:hAnsi="Calibri" w:cs="Calibri"/>
                <w:sz w:val="20"/>
                <w:szCs w:val="20"/>
              </w:rPr>
              <w:t xml:space="preserve">Wherein the </w:t>
            </w:r>
            <w:r w:rsidR="00F13012">
              <w:rPr>
                <w:rFonts w:ascii="Calibri" w:eastAsia="Calibri" w:hAnsi="Calibri" w:cs="Calibri"/>
                <w:sz w:val="20"/>
                <w:szCs w:val="20"/>
              </w:rPr>
              <w:t>GHG</w:t>
            </w:r>
            <w:r w:rsidR="00F13012" w:rsidRPr="00EC52A2">
              <w:rPr>
                <w:rFonts w:ascii="Calibri" w:eastAsia="Calibri" w:hAnsi="Calibri" w:cs="Calibri"/>
                <w:sz w:val="20"/>
                <w:szCs w:val="20"/>
              </w:rPr>
              <w:t xml:space="preserve"> </w:t>
            </w:r>
            <w:r w:rsidR="00242815">
              <w:rPr>
                <w:rFonts w:ascii="Calibri" w:eastAsia="Calibri" w:hAnsi="Calibri" w:cs="Calibri"/>
                <w:sz w:val="20"/>
                <w:szCs w:val="20"/>
              </w:rPr>
              <w:t xml:space="preserve">ER </w:t>
            </w:r>
            <w:r w:rsidRPr="00EC52A2">
              <w:rPr>
                <w:rFonts w:ascii="Calibri" w:eastAsia="Calibri" w:hAnsi="Calibri" w:cs="Calibri"/>
                <w:sz w:val="20"/>
                <w:szCs w:val="20"/>
              </w:rPr>
              <w:t xml:space="preserve">benefit is unitised and </w:t>
            </w:r>
            <w:r w:rsidR="007735A9" w:rsidRPr="00EC52A2">
              <w:rPr>
                <w:rFonts w:ascii="Calibri" w:eastAsia="Calibri" w:hAnsi="Calibri" w:cs="Calibri"/>
                <w:sz w:val="20"/>
                <w:szCs w:val="20"/>
              </w:rPr>
              <w:t xml:space="preserve">made available </w:t>
            </w:r>
            <w:r w:rsidRPr="00EC52A2">
              <w:rPr>
                <w:rFonts w:ascii="Calibri" w:eastAsia="Calibri" w:hAnsi="Calibri" w:cs="Calibri"/>
                <w:sz w:val="20"/>
                <w:szCs w:val="20"/>
              </w:rPr>
              <w:t>for</w:t>
            </w:r>
            <w:r w:rsidR="00DC6A17" w:rsidRPr="00EC52A2">
              <w:rPr>
                <w:rFonts w:ascii="Calibri" w:eastAsia="Calibri" w:hAnsi="Calibri" w:cs="Calibri"/>
                <w:sz w:val="20"/>
                <w:szCs w:val="20"/>
              </w:rPr>
              <w:t xml:space="preserve"> accounting or</w:t>
            </w:r>
            <w:r w:rsidRPr="00EC52A2">
              <w:rPr>
                <w:rFonts w:ascii="Calibri" w:eastAsia="Calibri" w:hAnsi="Calibri" w:cs="Calibri"/>
                <w:sz w:val="20"/>
                <w:szCs w:val="20"/>
              </w:rPr>
              <w:t xml:space="preserve"> trade </w:t>
            </w:r>
            <w:r w:rsidR="007735A9" w:rsidRPr="00EC52A2">
              <w:rPr>
                <w:rFonts w:ascii="Calibri" w:eastAsia="Calibri" w:hAnsi="Calibri" w:cs="Calibri"/>
                <w:sz w:val="20"/>
                <w:szCs w:val="20"/>
              </w:rPr>
              <w:t>under multiple mechanisms/products</w:t>
            </w:r>
            <w:r w:rsidRPr="00EC52A2">
              <w:rPr>
                <w:rFonts w:ascii="Calibri" w:eastAsia="Calibri" w:hAnsi="Calibri" w:cs="Calibri"/>
                <w:sz w:val="20"/>
                <w:szCs w:val="20"/>
              </w:rPr>
              <w:t>.</w:t>
            </w:r>
          </w:p>
        </w:tc>
        <w:tc>
          <w:tcPr>
            <w:tcW w:w="3544" w:type="dxa"/>
          </w:tcPr>
          <w:p w14:paraId="2723D38D" w14:textId="319AF860" w:rsidR="007735A9" w:rsidRPr="00EC52A2" w:rsidRDefault="00075CBA" w:rsidP="00242815">
            <w:pPr>
              <w:pStyle w:val="Normal1"/>
              <w:contextualSpacing w:val="0"/>
              <w:rPr>
                <w:rFonts w:ascii="Calibri" w:eastAsia="Calibri" w:hAnsi="Calibri" w:cs="Calibri"/>
                <w:sz w:val="20"/>
                <w:szCs w:val="20"/>
              </w:rPr>
            </w:pPr>
            <w:r w:rsidRPr="00EC52A2">
              <w:rPr>
                <w:rFonts w:ascii="Calibri" w:eastAsia="Calibri" w:hAnsi="Calibri" w:cs="Calibri"/>
                <w:sz w:val="20"/>
                <w:szCs w:val="20"/>
              </w:rPr>
              <w:t xml:space="preserve">Where a </w:t>
            </w:r>
            <w:r w:rsidR="00F13012" w:rsidRPr="00EC52A2">
              <w:rPr>
                <w:rFonts w:ascii="Calibri" w:eastAsia="Calibri" w:hAnsi="Calibri" w:cs="Calibri"/>
                <w:sz w:val="20"/>
                <w:szCs w:val="20"/>
              </w:rPr>
              <w:t>G</w:t>
            </w:r>
            <w:r w:rsidR="00F13012">
              <w:rPr>
                <w:rFonts w:ascii="Calibri" w:eastAsia="Calibri" w:hAnsi="Calibri" w:cs="Calibri"/>
                <w:sz w:val="20"/>
                <w:szCs w:val="20"/>
              </w:rPr>
              <w:t>old Standard</w:t>
            </w:r>
            <w:r w:rsidR="00F13012" w:rsidRPr="00EC52A2">
              <w:rPr>
                <w:rFonts w:ascii="Calibri" w:eastAsia="Calibri" w:hAnsi="Calibri" w:cs="Calibri"/>
                <w:sz w:val="20"/>
                <w:szCs w:val="20"/>
              </w:rPr>
              <w:t xml:space="preserve"> </w:t>
            </w:r>
            <w:r w:rsidRPr="00EC52A2">
              <w:rPr>
                <w:rFonts w:ascii="Calibri" w:eastAsia="Calibri" w:hAnsi="Calibri" w:cs="Calibri"/>
                <w:sz w:val="20"/>
                <w:szCs w:val="20"/>
              </w:rPr>
              <w:t xml:space="preserve">VER is </w:t>
            </w:r>
            <w:r w:rsidR="00F13012">
              <w:rPr>
                <w:rFonts w:ascii="Calibri" w:eastAsia="Calibri" w:hAnsi="Calibri" w:cs="Calibri"/>
                <w:sz w:val="20"/>
                <w:szCs w:val="20"/>
              </w:rPr>
              <w:t>i</w:t>
            </w:r>
            <w:r w:rsidR="00F13012" w:rsidRPr="00EC52A2">
              <w:rPr>
                <w:rFonts w:ascii="Calibri" w:eastAsia="Calibri" w:hAnsi="Calibri" w:cs="Calibri"/>
                <w:sz w:val="20"/>
                <w:szCs w:val="20"/>
              </w:rPr>
              <w:t xml:space="preserve">ssued </w:t>
            </w:r>
            <w:r w:rsidRPr="00EC52A2">
              <w:rPr>
                <w:rFonts w:ascii="Calibri" w:eastAsia="Calibri" w:hAnsi="Calibri" w:cs="Calibri"/>
                <w:sz w:val="20"/>
                <w:szCs w:val="20"/>
              </w:rPr>
              <w:t>in a country or region that operates a GHG Emissions Trading Scheme</w:t>
            </w:r>
            <w:r w:rsidR="005C49C5">
              <w:rPr>
                <w:rFonts w:ascii="Calibri" w:eastAsia="Calibri" w:hAnsi="Calibri" w:cs="Calibri"/>
                <w:sz w:val="20"/>
                <w:szCs w:val="20"/>
              </w:rPr>
              <w:t xml:space="preserve"> or carbon tax</w:t>
            </w:r>
            <w:r w:rsidRPr="00EC52A2">
              <w:rPr>
                <w:rFonts w:ascii="Calibri" w:eastAsia="Calibri" w:hAnsi="Calibri" w:cs="Calibri"/>
                <w:sz w:val="20"/>
                <w:szCs w:val="20"/>
              </w:rPr>
              <w:t xml:space="preserve"> that thereby accounts for and monetises the same </w:t>
            </w:r>
            <w:r w:rsidR="005159D5">
              <w:rPr>
                <w:rFonts w:ascii="Calibri" w:eastAsia="Calibri" w:hAnsi="Calibri" w:cs="Calibri"/>
                <w:sz w:val="20"/>
                <w:szCs w:val="20"/>
              </w:rPr>
              <w:t>GHG</w:t>
            </w:r>
            <w:r w:rsidR="00242815">
              <w:rPr>
                <w:rFonts w:ascii="Calibri" w:eastAsia="Calibri" w:hAnsi="Calibri" w:cs="Calibri"/>
                <w:sz w:val="20"/>
                <w:szCs w:val="20"/>
              </w:rPr>
              <w:t xml:space="preserve"> ER</w:t>
            </w:r>
            <w:r w:rsidRPr="00EC52A2">
              <w:rPr>
                <w:rFonts w:ascii="Calibri" w:eastAsia="Calibri" w:hAnsi="Calibri" w:cs="Calibri"/>
                <w:sz w:val="20"/>
                <w:szCs w:val="20"/>
              </w:rPr>
              <w:t>.</w:t>
            </w:r>
          </w:p>
        </w:tc>
        <w:tc>
          <w:tcPr>
            <w:tcW w:w="2407" w:type="dxa"/>
          </w:tcPr>
          <w:p w14:paraId="16F41E71" w14:textId="77777777" w:rsidR="00075CBA" w:rsidRPr="00EC52A2" w:rsidRDefault="00075CBA" w:rsidP="006E5C5F">
            <w:pPr>
              <w:pStyle w:val="Normal1"/>
              <w:contextualSpacing w:val="0"/>
              <w:rPr>
                <w:rFonts w:ascii="Calibri" w:eastAsia="Calibri" w:hAnsi="Calibri" w:cs="Calibri"/>
                <w:sz w:val="20"/>
                <w:szCs w:val="20"/>
              </w:rPr>
            </w:pPr>
            <w:r w:rsidRPr="00EC52A2">
              <w:rPr>
                <w:rFonts w:ascii="Calibri" w:eastAsia="Calibri" w:hAnsi="Calibri" w:cs="Calibri"/>
                <w:sz w:val="20"/>
                <w:szCs w:val="20"/>
              </w:rPr>
              <w:t>Proposed rule change for Double Counting outlined in this document.</w:t>
            </w:r>
          </w:p>
          <w:p w14:paraId="2E40865B" w14:textId="77777777" w:rsidR="007735A9" w:rsidRPr="00EC52A2" w:rsidRDefault="007735A9" w:rsidP="006E5C5F">
            <w:pPr>
              <w:pStyle w:val="Normal1"/>
              <w:contextualSpacing w:val="0"/>
              <w:rPr>
                <w:rFonts w:ascii="Calibri" w:eastAsia="Calibri" w:hAnsi="Calibri" w:cs="Calibri"/>
                <w:sz w:val="20"/>
                <w:szCs w:val="20"/>
              </w:rPr>
            </w:pPr>
          </w:p>
          <w:p w14:paraId="2477994C" w14:textId="24CA824D" w:rsidR="007735A9" w:rsidRPr="00EC52A2" w:rsidRDefault="007735A9" w:rsidP="006E5C5F">
            <w:pPr>
              <w:pStyle w:val="Normal1"/>
              <w:contextualSpacing w:val="0"/>
              <w:rPr>
                <w:rFonts w:ascii="Calibri" w:eastAsia="Calibri" w:hAnsi="Calibri" w:cs="Calibri"/>
                <w:sz w:val="20"/>
                <w:szCs w:val="20"/>
              </w:rPr>
            </w:pPr>
          </w:p>
        </w:tc>
      </w:tr>
    </w:tbl>
    <w:p w14:paraId="73E3E23C" w14:textId="77777777" w:rsidR="00DC6A17" w:rsidRPr="00EC52A2" w:rsidRDefault="00DC6A17" w:rsidP="006E5C5F">
      <w:pPr>
        <w:pStyle w:val="Normal1"/>
        <w:spacing w:after="0"/>
        <w:contextualSpacing w:val="0"/>
        <w:rPr>
          <w:rFonts w:ascii="Calibri" w:eastAsia="Calibri" w:hAnsi="Calibri" w:cs="Calibri"/>
          <w:b/>
          <w:sz w:val="22"/>
          <w:szCs w:val="22"/>
        </w:rPr>
      </w:pPr>
    </w:p>
    <w:p w14:paraId="6C5D1E23" w14:textId="0F60AFA4" w:rsidR="00A90934" w:rsidRPr="00EC52A2" w:rsidRDefault="00F611E6" w:rsidP="00A775CA">
      <w:r w:rsidRPr="00EC52A2">
        <w:br w:type="page"/>
      </w:r>
    </w:p>
    <w:p w14:paraId="26F1FB86" w14:textId="77777777" w:rsidR="003165F4" w:rsidRPr="00EC52A2" w:rsidRDefault="003165F4" w:rsidP="004721A3">
      <w:pPr>
        <w:pStyle w:val="Normal1"/>
        <w:spacing w:after="0"/>
        <w:contextualSpacing w:val="0"/>
        <w:rPr>
          <w:rFonts w:ascii="Calibri" w:eastAsia="Calibri" w:hAnsi="Calibri" w:cs="Calibri"/>
          <w:b/>
          <w:sz w:val="22"/>
          <w:szCs w:val="22"/>
        </w:rPr>
      </w:pPr>
    </w:p>
    <w:p w14:paraId="0B89C5E9" w14:textId="058EE0D9" w:rsidR="009F1C08" w:rsidRPr="00EC52A2" w:rsidRDefault="00F15AA0" w:rsidP="006E5C5F">
      <w:pPr>
        <w:pStyle w:val="Normal1"/>
        <w:numPr>
          <w:ilvl w:val="0"/>
          <w:numId w:val="1"/>
        </w:numPr>
        <w:spacing w:after="0"/>
        <w:contextualSpacing w:val="0"/>
        <w:rPr>
          <w:rFonts w:ascii="Calibri" w:eastAsia="Calibri" w:hAnsi="Calibri" w:cs="Calibri"/>
          <w:b/>
          <w:sz w:val="22"/>
          <w:szCs w:val="22"/>
        </w:rPr>
      </w:pPr>
      <w:r>
        <w:rPr>
          <w:rFonts w:ascii="Calibri" w:eastAsia="Calibri" w:hAnsi="Calibri" w:cs="Calibri"/>
          <w:b/>
          <w:sz w:val="22"/>
          <w:szCs w:val="22"/>
        </w:rPr>
        <w:t xml:space="preserve">APPLICABILITY / </w:t>
      </w:r>
      <w:r w:rsidR="002B0986" w:rsidRPr="00EC52A2">
        <w:rPr>
          <w:rFonts w:ascii="Calibri" w:eastAsia="Calibri" w:hAnsi="Calibri" w:cs="Calibri"/>
          <w:b/>
          <w:sz w:val="22"/>
          <w:szCs w:val="22"/>
        </w:rPr>
        <w:t>SCOPE</w:t>
      </w:r>
    </w:p>
    <w:p w14:paraId="55A08EB2" w14:textId="77777777" w:rsidR="00A775CA" w:rsidRDefault="00A775CA" w:rsidP="006E5C5F">
      <w:pPr>
        <w:pStyle w:val="Normal1"/>
        <w:spacing w:after="0"/>
        <w:contextualSpacing w:val="0"/>
        <w:rPr>
          <w:rFonts w:ascii="Calibri" w:eastAsia="Calibri" w:hAnsi="Calibri" w:cs="Calibri"/>
          <w:sz w:val="22"/>
          <w:szCs w:val="22"/>
        </w:rPr>
      </w:pPr>
    </w:p>
    <w:p w14:paraId="34F1A0F8" w14:textId="7DD7D26C" w:rsidR="00A775CA" w:rsidRDefault="00A775CA" w:rsidP="00A775CA">
      <w:pPr>
        <w:pStyle w:val="NormalWeb"/>
        <w:spacing w:before="0" w:beforeAutospacing="0" w:after="0" w:afterAutospacing="0"/>
        <w:rPr>
          <w:rFonts w:ascii="Calibri" w:hAnsi="Calibri"/>
          <w:b/>
          <w:sz w:val="22"/>
          <w:szCs w:val="22"/>
        </w:rPr>
      </w:pPr>
      <w:r w:rsidRPr="00EC52A2">
        <w:rPr>
          <w:rFonts w:ascii="Calibri" w:hAnsi="Calibri"/>
          <w:sz w:val="22"/>
          <w:szCs w:val="22"/>
        </w:rPr>
        <w:t>Currently there are rules under the</w:t>
      </w:r>
      <w:r>
        <w:rPr>
          <w:rFonts w:ascii="Calibri" w:hAnsi="Calibri"/>
          <w:sz w:val="22"/>
          <w:szCs w:val="22"/>
        </w:rPr>
        <w:t xml:space="preserve"> scope ‘Energy &amp; Waste’</w:t>
      </w:r>
      <w:r w:rsidRPr="00EC52A2">
        <w:rPr>
          <w:rFonts w:ascii="Calibri" w:hAnsi="Calibri"/>
          <w:sz w:val="22"/>
          <w:szCs w:val="22"/>
        </w:rPr>
        <w:t xml:space="preserve"> requir</w:t>
      </w:r>
      <w:r w:rsidR="0051224F">
        <w:rPr>
          <w:rFonts w:ascii="Calibri" w:hAnsi="Calibri"/>
          <w:sz w:val="22"/>
          <w:szCs w:val="22"/>
        </w:rPr>
        <w:t>ing</w:t>
      </w:r>
      <w:r w:rsidRPr="00EC52A2">
        <w:rPr>
          <w:rFonts w:ascii="Calibri" w:hAnsi="Calibri"/>
          <w:sz w:val="22"/>
          <w:szCs w:val="22"/>
        </w:rPr>
        <w:t xml:space="preserve"> the cancellation of AAUs in lieu of </w:t>
      </w:r>
      <w:r>
        <w:rPr>
          <w:rFonts w:ascii="Calibri" w:hAnsi="Calibri"/>
          <w:sz w:val="22"/>
          <w:szCs w:val="22"/>
        </w:rPr>
        <w:t>i</w:t>
      </w:r>
      <w:r w:rsidRPr="00EC52A2">
        <w:rPr>
          <w:rFonts w:ascii="Calibri" w:hAnsi="Calibri"/>
          <w:sz w:val="22"/>
          <w:szCs w:val="22"/>
        </w:rPr>
        <w:t xml:space="preserve">ssuance of VERs and preventing the </w:t>
      </w:r>
      <w:r w:rsidR="0051224F">
        <w:rPr>
          <w:rFonts w:ascii="Calibri" w:hAnsi="Calibri"/>
          <w:sz w:val="22"/>
          <w:szCs w:val="22"/>
        </w:rPr>
        <w:t xml:space="preserve">issuance </w:t>
      </w:r>
      <w:r w:rsidRPr="00EC52A2">
        <w:rPr>
          <w:rFonts w:ascii="Calibri" w:hAnsi="Calibri"/>
          <w:sz w:val="22"/>
          <w:szCs w:val="22"/>
        </w:rPr>
        <w:t xml:space="preserve">of RECs under </w:t>
      </w:r>
      <w:r>
        <w:rPr>
          <w:rFonts w:ascii="Calibri" w:hAnsi="Calibri"/>
          <w:sz w:val="22"/>
          <w:szCs w:val="22"/>
        </w:rPr>
        <w:t>r</w:t>
      </w:r>
      <w:r w:rsidRPr="00EC52A2">
        <w:rPr>
          <w:rFonts w:ascii="Calibri" w:hAnsi="Calibri"/>
          <w:sz w:val="22"/>
          <w:szCs w:val="22"/>
        </w:rPr>
        <w:t xml:space="preserve">enewable </w:t>
      </w:r>
      <w:r>
        <w:rPr>
          <w:rFonts w:ascii="Calibri" w:hAnsi="Calibri"/>
          <w:sz w:val="22"/>
          <w:szCs w:val="22"/>
        </w:rPr>
        <w:t>e</w:t>
      </w:r>
      <w:r w:rsidRPr="00EC52A2">
        <w:rPr>
          <w:rFonts w:ascii="Calibri" w:hAnsi="Calibri"/>
          <w:sz w:val="22"/>
          <w:szCs w:val="22"/>
        </w:rPr>
        <w:t>nergy project</w:t>
      </w:r>
      <w:r>
        <w:rPr>
          <w:rFonts w:ascii="Calibri" w:hAnsi="Calibri"/>
          <w:sz w:val="22"/>
          <w:szCs w:val="22"/>
        </w:rPr>
        <w:t>s</w:t>
      </w:r>
      <w:r w:rsidRPr="00EC52A2">
        <w:rPr>
          <w:rFonts w:ascii="Calibri" w:hAnsi="Calibri"/>
          <w:sz w:val="22"/>
          <w:szCs w:val="22"/>
        </w:rPr>
        <w:t xml:space="preserve">.  There is currently no rule under the </w:t>
      </w:r>
      <w:r>
        <w:rPr>
          <w:rFonts w:ascii="Calibri" w:hAnsi="Calibri"/>
          <w:sz w:val="22"/>
          <w:szCs w:val="22"/>
        </w:rPr>
        <w:t xml:space="preserve">‘Land Use </w:t>
      </w:r>
      <w:r w:rsidRPr="00EC52A2">
        <w:rPr>
          <w:rFonts w:ascii="Calibri" w:hAnsi="Calibri"/>
          <w:sz w:val="22"/>
          <w:szCs w:val="22"/>
        </w:rPr>
        <w:t>&amp;</w:t>
      </w:r>
      <w:r>
        <w:rPr>
          <w:rFonts w:ascii="Calibri" w:hAnsi="Calibri"/>
          <w:sz w:val="22"/>
          <w:szCs w:val="22"/>
        </w:rPr>
        <w:t xml:space="preserve"> </w:t>
      </w:r>
      <w:r w:rsidRPr="00EC52A2">
        <w:rPr>
          <w:rFonts w:ascii="Calibri" w:hAnsi="Calibri"/>
          <w:sz w:val="22"/>
          <w:szCs w:val="22"/>
        </w:rPr>
        <w:t>F</w:t>
      </w:r>
      <w:r>
        <w:rPr>
          <w:rFonts w:ascii="Calibri" w:hAnsi="Calibri"/>
          <w:sz w:val="22"/>
          <w:szCs w:val="22"/>
        </w:rPr>
        <w:t>orest’</w:t>
      </w:r>
      <w:r w:rsidRPr="00EC52A2">
        <w:rPr>
          <w:rFonts w:ascii="Calibri" w:hAnsi="Calibri"/>
          <w:sz w:val="22"/>
          <w:szCs w:val="22"/>
        </w:rPr>
        <w:t xml:space="preserve"> </w:t>
      </w:r>
      <w:r>
        <w:rPr>
          <w:rFonts w:ascii="Calibri" w:hAnsi="Calibri"/>
          <w:sz w:val="22"/>
          <w:szCs w:val="22"/>
        </w:rPr>
        <w:t>s</w:t>
      </w:r>
      <w:r w:rsidRPr="00EC52A2">
        <w:rPr>
          <w:rFonts w:ascii="Calibri" w:hAnsi="Calibri"/>
          <w:sz w:val="22"/>
          <w:szCs w:val="22"/>
        </w:rPr>
        <w:t>cope</w:t>
      </w:r>
      <w:r>
        <w:rPr>
          <w:rFonts w:ascii="Calibri" w:hAnsi="Calibri"/>
          <w:sz w:val="22"/>
          <w:szCs w:val="22"/>
        </w:rPr>
        <w:t xml:space="preserve"> to address this topic</w:t>
      </w:r>
      <w:r w:rsidRPr="00EC52A2">
        <w:rPr>
          <w:rFonts w:ascii="Calibri" w:hAnsi="Calibri"/>
          <w:sz w:val="22"/>
          <w:szCs w:val="22"/>
        </w:rPr>
        <w:t>.</w:t>
      </w:r>
      <w:r w:rsidRPr="00EC52A2">
        <w:rPr>
          <w:rFonts w:ascii="Calibri" w:hAnsi="Calibri"/>
          <w:b/>
          <w:sz w:val="22"/>
          <w:szCs w:val="22"/>
        </w:rPr>
        <w:t xml:space="preserve"> </w:t>
      </w:r>
      <w:r>
        <w:rPr>
          <w:rFonts w:ascii="Calibri" w:hAnsi="Calibri"/>
          <w:b/>
          <w:sz w:val="22"/>
          <w:szCs w:val="22"/>
        </w:rPr>
        <w:br/>
      </w:r>
    </w:p>
    <w:p w14:paraId="1A7E4469" w14:textId="7665DD9C" w:rsidR="00A775CA" w:rsidRPr="009416CF" w:rsidRDefault="00A775CA" w:rsidP="00A775CA">
      <w:pPr>
        <w:pStyle w:val="NormalWeb"/>
        <w:spacing w:before="0" w:beforeAutospacing="0" w:after="0" w:afterAutospacing="0"/>
        <w:rPr>
          <w:rFonts w:ascii="Calibri" w:hAnsi="Calibri"/>
          <w:sz w:val="22"/>
          <w:szCs w:val="22"/>
        </w:rPr>
      </w:pPr>
      <w:r w:rsidRPr="009416CF">
        <w:rPr>
          <w:rFonts w:ascii="Calibri" w:hAnsi="Calibri"/>
          <w:sz w:val="22"/>
          <w:szCs w:val="22"/>
        </w:rPr>
        <w:t xml:space="preserve">This </w:t>
      </w:r>
      <w:r>
        <w:rPr>
          <w:rFonts w:ascii="Calibri" w:hAnsi="Calibri"/>
          <w:sz w:val="22"/>
          <w:szCs w:val="22"/>
        </w:rPr>
        <w:t>guideline replaces the current rules and requirements within the Gold Standard scope ‘Energy &amp; Waste’.</w:t>
      </w:r>
    </w:p>
    <w:p w14:paraId="0B8F2F17" w14:textId="77777777" w:rsidR="00A775CA" w:rsidRDefault="00A775CA" w:rsidP="006E5C5F">
      <w:pPr>
        <w:pStyle w:val="Normal1"/>
        <w:spacing w:after="0"/>
        <w:contextualSpacing w:val="0"/>
        <w:rPr>
          <w:rFonts w:ascii="Calibri" w:eastAsia="Calibri" w:hAnsi="Calibri" w:cs="Calibri"/>
          <w:sz w:val="22"/>
          <w:szCs w:val="22"/>
        </w:rPr>
      </w:pPr>
    </w:p>
    <w:p w14:paraId="6F40D64B" w14:textId="77777777" w:rsidR="00A775CA" w:rsidRPr="00950579" w:rsidRDefault="00A775CA" w:rsidP="00A775CA">
      <w:pPr>
        <w:pStyle w:val="Normal1"/>
        <w:spacing w:after="0"/>
        <w:contextualSpacing w:val="0"/>
        <w:rPr>
          <w:rFonts w:ascii="Calibri" w:eastAsia="Calibri" w:hAnsi="Calibri" w:cs="Calibri"/>
          <w:b/>
          <w:sz w:val="22"/>
          <w:szCs w:val="22"/>
        </w:rPr>
      </w:pPr>
      <w:r>
        <w:rPr>
          <w:rFonts w:ascii="Calibri" w:eastAsia="Calibri" w:hAnsi="Calibri" w:cs="Calibri"/>
          <w:b/>
          <w:sz w:val="22"/>
          <w:szCs w:val="22"/>
        </w:rPr>
        <w:t>Type of Double Counting</w:t>
      </w:r>
    </w:p>
    <w:p w14:paraId="3F7A2A53" w14:textId="69AC34D9" w:rsidR="002B0986" w:rsidRPr="00EC52A2" w:rsidRDefault="002B0986" w:rsidP="006E5C5F">
      <w:pPr>
        <w:pStyle w:val="Normal1"/>
        <w:spacing w:after="0"/>
        <w:contextualSpacing w:val="0"/>
        <w:rPr>
          <w:rFonts w:ascii="Calibri" w:eastAsia="Calibri" w:hAnsi="Calibri" w:cs="Calibri"/>
          <w:sz w:val="22"/>
          <w:szCs w:val="22"/>
        </w:rPr>
      </w:pPr>
      <w:r w:rsidRPr="00EC52A2">
        <w:rPr>
          <w:rFonts w:ascii="Calibri" w:eastAsia="Calibri" w:hAnsi="Calibri" w:cs="Calibri"/>
          <w:sz w:val="22"/>
          <w:szCs w:val="22"/>
        </w:rPr>
        <w:t xml:space="preserve">This </w:t>
      </w:r>
      <w:r w:rsidR="000D2588">
        <w:rPr>
          <w:rFonts w:ascii="Calibri" w:eastAsia="Calibri" w:hAnsi="Calibri" w:cs="Calibri"/>
          <w:sz w:val="22"/>
          <w:szCs w:val="22"/>
        </w:rPr>
        <w:t>guideline</w:t>
      </w:r>
      <w:r w:rsidRPr="00EC52A2">
        <w:rPr>
          <w:rFonts w:ascii="Calibri" w:eastAsia="Calibri" w:hAnsi="Calibri" w:cs="Calibri"/>
          <w:sz w:val="22"/>
          <w:szCs w:val="22"/>
        </w:rPr>
        <w:t xml:space="preserve"> addresses the </w:t>
      </w:r>
      <w:r w:rsidR="00CA7666" w:rsidRPr="00EC52A2">
        <w:rPr>
          <w:rFonts w:ascii="Calibri" w:eastAsia="Calibri" w:hAnsi="Calibri" w:cs="Calibri"/>
          <w:sz w:val="22"/>
          <w:szCs w:val="22"/>
        </w:rPr>
        <w:t xml:space="preserve">specific Double Counting </w:t>
      </w:r>
      <w:r w:rsidRPr="00EC52A2">
        <w:rPr>
          <w:rFonts w:ascii="Calibri" w:eastAsia="Calibri" w:hAnsi="Calibri" w:cs="Calibri"/>
          <w:sz w:val="22"/>
          <w:szCs w:val="22"/>
        </w:rPr>
        <w:t>issue</w:t>
      </w:r>
      <w:r w:rsidR="00CA7666" w:rsidRPr="00EC52A2">
        <w:rPr>
          <w:rFonts w:ascii="Calibri" w:eastAsia="Calibri" w:hAnsi="Calibri" w:cs="Calibri"/>
          <w:sz w:val="22"/>
          <w:szCs w:val="22"/>
        </w:rPr>
        <w:t>s</w:t>
      </w:r>
      <w:r w:rsidRPr="00EC52A2">
        <w:rPr>
          <w:rFonts w:ascii="Calibri" w:eastAsia="Calibri" w:hAnsi="Calibri" w:cs="Calibri"/>
          <w:sz w:val="22"/>
          <w:szCs w:val="22"/>
        </w:rPr>
        <w:t xml:space="preserve"> </w:t>
      </w:r>
      <w:r w:rsidR="00CA7666" w:rsidRPr="00EC52A2">
        <w:rPr>
          <w:rFonts w:ascii="Calibri" w:eastAsia="Calibri" w:hAnsi="Calibri" w:cs="Calibri"/>
          <w:sz w:val="22"/>
          <w:szCs w:val="22"/>
        </w:rPr>
        <w:t>caused by</w:t>
      </w:r>
      <w:r w:rsidRPr="00EC52A2">
        <w:rPr>
          <w:rFonts w:ascii="Calibri" w:eastAsia="Calibri" w:hAnsi="Calibri" w:cs="Calibri"/>
          <w:sz w:val="22"/>
          <w:szCs w:val="22"/>
        </w:rPr>
        <w:t xml:space="preserve"> </w:t>
      </w:r>
      <w:r w:rsidR="000D2588">
        <w:rPr>
          <w:rFonts w:ascii="Calibri" w:eastAsia="Calibri" w:hAnsi="Calibri" w:cs="Calibri"/>
          <w:sz w:val="22"/>
          <w:szCs w:val="22"/>
        </w:rPr>
        <w:t>‘</w:t>
      </w:r>
      <w:r w:rsidRPr="00EC52A2">
        <w:rPr>
          <w:rFonts w:ascii="Calibri" w:eastAsia="Calibri" w:hAnsi="Calibri" w:cs="Calibri"/>
          <w:sz w:val="22"/>
          <w:szCs w:val="22"/>
        </w:rPr>
        <w:t>Double Monetiza</w:t>
      </w:r>
      <w:r w:rsidR="00556B3B" w:rsidRPr="00EC52A2">
        <w:rPr>
          <w:rFonts w:ascii="Calibri" w:eastAsia="Calibri" w:hAnsi="Calibri" w:cs="Calibri"/>
          <w:sz w:val="22"/>
          <w:szCs w:val="22"/>
        </w:rPr>
        <w:t>tion</w:t>
      </w:r>
      <w:r w:rsidR="000D2588">
        <w:rPr>
          <w:rFonts w:ascii="Calibri" w:eastAsia="Calibri" w:hAnsi="Calibri" w:cs="Calibri"/>
          <w:sz w:val="22"/>
          <w:szCs w:val="22"/>
        </w:rPr>
        <w:t>’</w:t>
      </w:r>
      <w:r w:rsidR="007735A9" w:rsidRPr="00EC52A2">
        <w:rPr>
          <w:rFonts w:ascii="Calibri" w:eastAsia="Calibri" w:hAnsi="Calibri" w:cs="Calibri"/>
          <w:sz w:val="22"/>
          <w:szCs w:val="22"/>
        </w:rPr>
        <w:t xml:space="preserve"> </w:t>
      </w:r>
      <w:r w:rsidRPr="00EC52A2">
        <w:rPr>
          <w:rFonts w:ascii="Calibri" w:eastAsia="Calibri" w:hAnsi="Calibri" w:cs="Calibri"/>
          <w:sz w:val="22"/>
          <w:szCs w:val="22"/>
        </w:rPr>
        <w:t xml:space="preserve">and </w:t>
      </w:r>
      <w:r w:rsidR="00F611E6" w:rsidRPr="00EC52A2">
        <w:rPr>
          <w:rFonts w:ascii="Calibri" w:eastAsia="Calibri" w:hAnsi="Calibri" w:cs="Calibri"/>
          <w:sz w:val="22"/>
          <w:szCs w:val="22"/>
        </w:rPr>
        <w:t xml:space="preserve">their </w:t>
      </w:r>
      <w:r w:rsidRPr="00EC52A2">
        <w:rPr>
          <w:rFonts w:ascii="Calibri" w:eastAsia="Calibri" w:hAnsi="Calibri" w:cs="Calibri"/>
          <w:sz w:val="22"/>
          <w:szCs w:val="22"/>
        </w:rPr>
        <w:t xml:space="preserve">subsequent action.  </w:t>
      </w:r>
    </w:p>
    <w:p w14:paraId="22A41B96" w14:textId="77777777" w:rsidR="000D2588" w:rsidRDefault="000D2588" w:rsidP="006E5C5F">
      <w:pPr>
        <w:spacing w:after="0"/>
        <w:rPr>
          <w:rFonts w:ascii="Calibri" w:eastAsia="Calibri" w:hAnsi="Calibri" w:cs="Calibri"/>
          <w:sz w:val="22"/>
          <w:szCs w:val="22"/>
        </w:rPr>
      </w:pPr>
    </w:p>
    <w:p w14:paraId="1ABB9BE7" w14:textId="0867D50C" w:rsidR="008445BA" w:rsidRPr="00EC52A2" w:rsidRDefault="008445BA" w:rsidP="006E5C5F">
      <w:pPr>
        <w:spacing w:after="0"/>
        <w:rPr>
          <w:rFonts w:ascii="Calibri" w:eastAsia="Calibri" w:hAnsi="Calibri" w:cs="Calibri"/>
          <w:sz w:val="22"/>
          <w:szCs w:val="22"/>
        </w:rPr>
      </w:pPr>
      <w:r w:rsidRPr="009416CF">
        <w:rPr>
          <w:rFonts w:ascii="Calibri" w:eastAsia="Calibri" w:hAnsi="Calibri" w:cs="Calibri"/>
          <w:b/>
          <w:sz w:val="22"/>
          <w:szCs w:val="22"/>
        </w:rPr>
        <w:t>Scopes</w:t>
      </w:r>
    </w:p>
    <w:p w14:paraId="6EB2DFEB" w14:textId="7AF82C1A" w:rsidR="008445BA" w:rsidRDefault="008445BA" w:rsidP="006E5C5F">
      <w:pPr>
        <w:spacing w:after="0"/>
        <w:rPr>
          <w:rFonts w:ascii="Calibri" w:eastAsia="Calibri" w:hAnsi="Calibri" w:cs="Calibri"/>
          <w:sz w:val="22"/>
          <w:szCs w:val="22"/>
        </w:rPr>
      </w:pPr>
      <w:r w:rsidRPr="00EC52A2">
        <w:rPr>
          <w:rFonts w:ascii="Calibri" w:eastAsia="Calibri" w:hAnsi="Calibri" w:cs="Calibri"/>
          <w:sz w:val="22"/>
          <w:szCs w:val="22"/>
        </w:rPr>
        <w:t xml:space="preserve">This </w:t>
      </w:r>
      <w:r w:rsidR="000D2588">
        <w:rPr>
          <w:rFonts w:ascii="Calibri" w:eastAsia="Calibri" w:hAnsi="Calibri" w:cs="Calibri"/>
          <w:sz w:val="22"/>
          <w:szCs w:val="22"/>
        </w:rPr>
        <w:t>guideline</w:t>
      </w:r>
      <w:r w:rsidRPr="00EC52A2">
        <w:rPr>
          <w:rFonts w:ascii="Calibri" w:eastAsia="Calibri" w:hAnsi="Calibri" w:cs="Calibri"/>
          <w:sz w:val="22"/>
          <w:szCs w:val="22"/>
        </w:rPr>
        <w:t xml:space="preserve"> address</w:t>
      </w:r>
      <w:r w:rsidR="000D2588">
        <w:rPr>
          <w:rFonts w:ascii="Calibri" w:eastAsia="Calibri" w:hAnsi="Calibri" w:cs="Calibri"/>
          <w:sz w:val="22"/>
          <w:szCs w:val="22"/>
        </w:rPr>
        <w:t>es</w:t>
      </w:r>
      <w:r w:rsidRPr="00EC52A2">
        <w:rPr>
          <w:rFonts w:ascii="Calibri" w:eastAsia="Calibri" w:hAnsi="Calibri" w:cs="Calibri"/>
          <w:sz w:val="22"/>
          <w:szCs w:val="22"/>
        </w:rPr>
        <w:t xml:space="preserve"> the </w:t>
      </w:r>
      <w:r w:rsidR="004721A3">
        <w:rPr>
          <w:rFonts w:ascii="Calibri" w:eastAsia="Calibri" w:hAnsi="Calibri" w:cs="Calibri"/>
          <w:sz w:val="22"/>
          <w:szCs w:val="22"/>
        </w:rPr>
        <w:t>topic</w:t>
      </w:r>
      <w:r w:rsidR="004721A3" w:rsidRPr="00EC52A2">
        <w:rPr>
          <w:rFonts w:ascii="Calibri" w:eastAsia="Calibri" w:hAnsi="Calibri" w:cs="Calibri"/>
          <w:sz w:val="22"/>
          <w:szCs w:val="22"/>
        </w:rPr>
        <w:t xml:space="preserve"> </w:t>
      </w:r>
      <w:r w:rsidRPr="00EC52A2">
        <w:rPr>
          <w:rFonts w:ascii="Calibri" w:eastAsia="Calibri" w:hAnsi="Calibri" w:cs="Calibri"/>
          <w:sz w:val="22"/>
          <w:szCs w:val="22"/>
        </w:rPr>
        <w:t>of Double Counting within the Gold Standard</w:t>
      </w:r>
      <w:r w:rsidR="00CA7666" w:rsidRPr="00EC52A2">
        <w:rPr>
          <w:rFonts w:ascii="Calibri" w:eastAsia="Calibri" w:hAnsi="Calibri" w:cs="Calibri"/>
          <w:sz w:val="22"/>
          <w:szCs w:val="22"/>
        </w:rPr>
        <w:t xml:space="preserve"> </w:t>
      </w:r>
      <w:r w:rsidR="004721A3">
        <w:rPr>
          <w:rFonts w:ascii="Calibri" w:eastAsia="Calibri" w:hAnsi="Calibri" w:cs="Calibri"/>
          <w:sz w:val="22"/>
          <w:szCs w:val="22"/>
        </w:rPr>
        <w:t xml:space="preserve">scopes </w:t>
      </w:r>
      <w:r w:rsidR="00CA7666" w:rsidRPr="00EC52A2">
        <w:rPr>
          <w:rFonts w:ascii="Calibri" w:eastAsia="Calibri" w:hAnsi="Calibri" w:cs="Calibri"/>
          <w:sz w:val="22"/>
          <w:szCs w:val="22"/>
        </w:rPr>
        <w:t>Energy &amp; Waste and Land-Use &amp; Forest</w:t>
      </w:r>
      <w:r w:rsidR="004721A3">
        <w:rPr>
          <w:rFonts w:ascii="Calibri" w:eastAsia="Calibri" w:hAnsi="Calibri" w:cs="Calibri"/>
          <w:sz w:val="22"/>
          <w:szCs w:val="22"/>
        </w:rPr>
        <w:t>. Here, it affects the issuance of all Gold Standard VERs</w:t>
      </w:r>
      <w:r w:rsidR="004721A3" w:rsidRPr="00EC52A2">
        <w:rPr>
          <w:rFonts w:ascii="Calibri" w:eastAsia="Calibri" w:hAnsi="Calibri" w:cs="Calibri"/>
          <w:sz w:val="22"/>
          <w:szCs w:val="22"/>
        </w:rPr>
        <w:t>/CO</w:t>
      </w:r>
      <w:r w:rsidR="004721A3" w:rsidRPr="009416CF">
        <w:rPr>
          <w:rFonts w:ascii="Calibri" w:eastAsia="Calibri" w:hAnsi="Calibri" w:cs="Calibri"/>
          <w:sz w:val="18"/>
          <w:szCs w:val="22"/>
        </w:rPr>
        <w:t>2</w:t>
      </w:r>
      <w:r w:rsidR="004721A3">
        <w:rPr>
          <w:rFonts w:ascii="Calibri" w:eastAsia="Calibri" w:hAnsi="Calibri" w:cs="Calibri"/>
          <w:sz w:val="22"/>
          <w:szCs w:val="22"/>
        </w:rPr>
        <w:t>-c</w:t>
      </w:r>
      <w:r w:rsidR="004721A3" w:rsidRPr="00EC52A2">
        <w:rPr>
          <w:rFonts w:ascii="Calibri" w:eastAsia="Calibri" w:hAnsi="Calibri" w:cs="Calibri"/>
          <w:sz w:val="22"/>
          <w:szCs w:val="22"/>
        </w:rPr>
        <w:t>ertificates</w:t>
      </w:r>
      <w:r w:rsidR="004721A3">
        <w:rPr>
          <w:rFonts w:ascii="Calibri" w:eastAsia="Calibri" w:hAnsi="Calibri" w:cs="Calibri"/>
          <w:sz w:val="22"/>
          <w:szCs w:val="22"/>
        </w:rPr>
        <w:t xml:space="preserve"> </w:t>
      </w:r>
      <w:r w:rsidR="004721A3" w:rsidRPr="00BF7D1C">
        <w:rPr>
          <w:rFonts w:ascii="Calibri" w:eastAsia="Calibri" w:hAnsi="Calibri" w:cs="Calibri"/>
          <w:sz w:val="22"/>
          <w:szCs w:val="22"/>
        </w:rPr>
        <w:t>(validated and verified).</w:t>
      </w:r>
    </w:p>
    <w:p w14:paraId="2D7E0C73" w14:textId="77777777" w:rsidR="004721A3" w:rsidRDefault="004721A3" w:rsidP="006E5C5F">
      <w:pPr>
        <w:spacing w:after="0"/>
        <w:rPr>
          <w:rFonts w:ascii="Calibri" w:eastAsia="Calibri" w:hAnsi="Calibri" w:cs="Calibri"/>
          <w:sz w:val="22"/>
          <w:szCs w:val="22"/>
        </w:rPr>
      </w:pPr>
    </w:p>
    <w:p w14:paraId="79B4BB76" w14:textId="673C79CA" w:rsidR="008445BA" w:rsidRPr="00EC52A2" w:rsidRDefault="004721A3" w:rsidP="006E5C5F">
      <w:pPr>
        <w:spacing w:after="0"/>
        <w:rPr>
          <w:rFonts w:ascii="Calibri" w:eastAsia="Calibri" w:hAnsi="Calibri" w:cs="Calibri"/>
          <w:sz w:val="22"/>
          <w:szCs w:val="22"/>
        </w:rPr>
      </w:pPr>
      <w:r w:rsidRPr="00EC52A2">
        <w:rPr>
          <w:rFonts w:ascii="Calibri" w:eastAsia="Calibri" w:hAnsi="Calibri" w:cs="Calibri"/>
          <w:sz w:val="22"/>
          <w:szCs w:val="22"/>
        </w:rPr>
        <w:t>When the Gold Standard issues labels for CDM credits (CERs) it does not create a separate asset or replicate the UN’s accounting and registry systems.</w:t>
      </w:r>
      <w:r>
        <w:rPr>
          <w:rFonts w:ascii="Calibri" w:eastAsia="Calibri" w:hAnsi="Calibri" w:cs="Calibri"/>
          <w:sz w:val="22"/>
          <w:szCs w:val="22"/>
        </w:rPr>
        <w:t xml:space="preserve"> Therefore, this </w:t>
      </w:r>
      <w:proofErr w:type="gramStart"/>
      <w:r>
        <w:rPr>
          <w:rFonts w:ascii="Calibri" w:eastAsia="Calibri" w:hAnsi="Calibri" w:cs="Calibri"/>
          <w:sz w:val="22"/>
          <w:szCs w:val="22"/>
        </w:rPr>
        <w:t>guideline</w:t>
      </w:r>
      <w:r w:rsidR="00BF7D1C">
        <w:rPr>
          <w:rFonts w:ascii="Calibri" w:eastAsia="Calibri" w:hAnsi="Calibri" w:cs="Calibri"/>
          <w:sz w:val="22"/>
          <w:szCs w:val="22"/>
        </w:rPr>
        <w:t xml:space="preserve"> </w:t>
      </w:r>
      <w:r>
        <w:rPr>
          <w:rFonts w:ascii="Calibri" w:eastAsia="Calibri" w:hAnsi="Calibri" w:cs="Calibri"/>
          <w:sz w:val="22"/>
          <w:szCs w:val="22"/>
        </w:rPr>
        <w:t xml:space="preserve"> </w:t>
      </w:r>
      <w:r w:rsidR="00242815">
        <w:rPr>
          <w:rFonts w:ascii="Calibri" w:eastAsia="Calibri" w:hAnsi="Calibri" w:cs="Calibri"/>
          <w:sz w:val="22"/>
          <w:szCs w:val="22"/>
        </w:rPr>
        <w:t>does</w:t>
      </w:r>
      <w:proofErr w:type="gramEnd"/>
      <w:r w:rsidR="00242815">
        <w:rPr>
          <w:rFonts w:ascii="Calibri" w:eastAsia="Calibri" w:hAnsi="Calibri" w:cs="Calibri"/>
          <w:sz w:val="22"/>
          <w:szCs w:val="22"/>
        </w:rPr>
        <w:t xml:space="preserve"> </w:t>
      </w:r>
      <w:r>
        <w:rPr>
          <w:rFonts w:ascii="Calibri" w:eastAsia="Calibri" w:hAnsi="Calibri" w:cs="Calibri"/>
          <w:sz w:val="22"/>
          <w:szCs w:val="22"/>
        </w:rPr>
        <w:t>not apply to Gold Standard labelled CERs.</w:t>
      </w:r>
    </w:p>
    <w:p w14:paraId="57B062C8" w14:textId="77777777" w:rsidR="004721A3" w:rsidRDefault="004721A3" w:rsidP="006E5C5F">
      <w:pPr>
        <w:spacing w:after="0"/>
        <w:rPr>
          <w:rFonts w:ascii="Calibri" w:eastAsia="Calibri" w:hAnsi="Calibri" w:cs="Calibri"/>
          <w:sz w:val="22"/>
          <w:szCs w:val="22"/>
        </w:rPr>
      </w:pPr>
    </w:p>
    <w:p w14:paraId="70DBDB1C" w14:textId="60510504" w:rsidR="002E5431" w:rsidRDefault="008445BA" w:rsidP="006E5C5F">
      <w:pPr>
        <w:spacing w:after="0"/>
        <w:rPr>
          <w:rFonts w:ascii="Calibri" w:eastAsia="Calibri" w:hAnsi="Calibri" w:cs="Calibri"/>
          <w:sz w:val="22"/>
          <w:szCs w:val="22"/>
        </w:rPr>
      </w:pPr>
      <w:r w:rsidRPr="00EC52A2">
        <w:rPr>
          <w:rFonts w:ascii="Calibri" w:eastAsia="Calibri" w:hAnsi="Calibri" w:cs="Calibri"/>
          <w:sz w:val="22"/>
          <w:szCs w:val="22"/>
        </w:rPr>
        <w:t xml:space="preserve">The </w:t>
      </w:r>
      <w:r w:rsidR="004721A3">
        <w:rPr>
          <w:rFonts w:ascii="Calibri" w:eastAsia="Calibri" w:hAnsi="Calibri" w:cs="Calibri"/>
          <w:sz w:val="22"/>
          <w:szCs w:val="22"/>
        </w:rPr>
        <w:t>guideline</w:t>
      </w:r>
      <w:r w:rsidRPr="00EC52A2">
        <w:rPr>
          <w:rFonts w:ascii="Calibri" w:eastAsia="Calibri" w:hAnsi="Calibri" w:cs="Calibri"/>
          <w:sz w:val="22"/>
          <w:szCs w:val="22"/>
        </w:rPr>
        <w:t xml:space="preserve"> does </w:t>
      </w:r>
      <w:r w:rsidR="004721A3">
        <w:rPr>
          <w:rFonts w:ascii="Calibri" w:eastAsia="Calibri" w:hAnsi="Calibri" w:cs="Calibri"/>
          <w:sz w:val="22"/>
          <w:szCs w:val="22"/>
        </w:rPr>
        <w:t xml:space="preserve">also </w:t>
      </w:r>
      <w:r w:rsidRPr="00EC52A2">
        <w:rPr>
          <w:rFonts w:ascii="Calibri" w:eastAsia="Calibri" w:hAnsi="Calibri" w:cs="Calibri"/>
          <w:sz w:val="22"/>
          <w:szCs w:val="22"/>
        </w:rPr>
        <w:t xml:space="preserve">not affect the </w:t>
      </w:r>
      <w:r w:rsidR="004721A3">
        <w:rPr>
          <w:rFonts w:ascii="Calibri" w:eastAsia="Calibri" w:hAnsi="Calibri" w:cs="Calibri"/>
          <w:sz w:val="22"/>
          <w:szCs w:val="22"/>
        </w:rPr>
        <w:t xml:space="preserve">Gold Standard </w:t>
      </w:r>
      <w:r w:rsidRPr="00EC52A2">
        <w:rPr>
          <w:rFonts w:ascii="Calibri" w:eastAsia="Calibri" w:hAnsi="Calibri" w:cs="Calibri"/>
          <w:sz w:val="22"/>
          <w:szCs w:val="22"/>
        </w:rPr>
        <w:t xml:space="preserve">Water </w:t>
      </w:r>
      <w:r w:rsidR="004721A3">
        <w:rPr>
          <w:rFonts w:ascii="Calibri" w:eastAsia="Calibri" w:hAnsi="Calibri" w:cs="Calibri"/>
          <w:sz w:val="22"/>
          <w:szCs w:val="22"/>
        </w:rPr>
        <w:t>s</w:t>
      </w:r>
      <w:r w:rsidR="004721A3" w:rsidRPr="00EC52A2">
        <w:rPr>
          <w:rFonts w:ascii="Calibri" w:eastAsia="Calibri" w:hAnsi="Calibri" w:cs="Calibri"/>
          <w:sz w:val="22"/>
          <w:szCs w:val="22"/>
        </w:rPr>
        <w:t>cope</w:t>
      </w:r>
      <w:r w:rsidR="00083A0B" w:rsidRPr="00EC52A2">
        <w:rPr>
          <w:rFonts w:ascii="Calibri" w:eastAsia="Calibri" w:hAnsi="Calibri" w:cs="Calibri"/>
          <w:sz w:val="22"/>
          <w:szCs w:val="22"/>
        </w:rPr>
        <w:t xml:space="preserve">.  In the water sector there </w:t>
      </w:r>
      <w:r w:rsidR="00242815">
        <w:rPr>
          <w:rFonts w:ascii="Calibri" w:eastAsia="Calibri" w:hAnsi="Calibri" w:cs="Calibri"/>
          <w:sz w:val="22"/>
          <w:szCs w:val="22"/>
        </w:rPr>
        <w:t>are</w:t>
      </w:r>
      <w:r w:rsidR="00083A0B" w:rsidRPr="00EC52A2">
        <w:rPr>
          <w:rFonts w:ascii="Calibri" w:eastAsia="Calibri" w:hAnsi="Calibri" w:cs="Calibri"/>
          <w:sz w:val="22"/>
          <w:szCs w:val="22"/>
        </w:rPr>
        <w:t xml:space="preserve"> no equivalent offsetting or trading schemes and there is no international regime for national or regional accounting and target setting. </w:t>
      </w:r>
      <w:r w:rsidR="00242815">
        <w:rPr>
          <w:rFonts w:ascii="Calibri" w:eastAsia="Calibri" w:hAnsi="Calibri" w:cs="Calibri"/>
          <w:sz w:val="22"/>
          <w:szCs w:val="22"/>
        </w:rPr>
        <w:t xml:space="preserve">  This will be monitored by Gold Standard and addressed under a separate rule as required in due course/if required.</w:t>
      </w:r>
    </w:p>
    <w:p w14:paraId="1294016F" w14:textId="77777777" w:rsidR="00242815" w:rsidRDefault="00242815" w:rsidP="006E5C5F">
      <w:pPr>
        <w:spacing w:after="0"/>
        <w:rPr>
          <w:rFonts w:ascii="Calibri" w:eastAsia="Calibri" w:hAnsi="Calibri" w:cs="Calibri"/>
          <w:sz w:val="22"/>
          <w:szCs w:val="22"/>
        </w:rPr>
      </w:pPr>
    </w:p>
    <w:p w14:paraId="5307B2CD" w14:textId="495DEE36" w:rsidR="00242815" w:rsidRDefault="00242815" w:rsidP="006E5C5F">
      <w:pPr>
        <w:spacing w:after="0"/>
        <w:rPr>
          <w:rFonts w:ascii="Calibri" w:eastAsia="Calibri" w:hAnsi="Calibri" w:cs="Calibri"/>
          <w:sz w:val="22"/>
          <w:szCs w:val="22"/>
        </w:rPr>
      </w:pPr>
      <w:r>
        <w:rPr>
          <w:rFonts w:ascii="Calibri" w:eastAsia="Calibri" w:hAnsi="Calibri" w:cs="Calibri"/>
          <w:sz w:val="22"/>
          <w:szCs w:val="22"/>
        </w:rPr>
        <w:t xml:space="preserve">This guideline does not address stacking of assets e.g. the issuance of VERs and Water Benefit Certificates for example.  </w:t>
      </w:r>
    </w:p>
    <w:p w14:paraId="50C0C9DD" w14:textId="77777777" w:rsidR="002E5431" w:rsidRDefault="002E5431" w:rsidP="006E5C5F">
      <w:pPr>
        <w:spacing w:after="0"/>
        <w:rPr>
          <w:rFonts w:ascii="Calibri" w:eastAsia="Calibri" w:hAnsi="Calibri" w:cs="Calibri"/>
          <w:sz w:val="22"/>
          <w:szCs w:val="22"/>
        </w:rPr>
      </w:pPr>
    </w:p>
    <w:p w14:paraId="565F3B6C" w14:textId="323D2906" w:rsidR="002E5431" w:rsidRDefault="002A328B" w:rsidP="006E5C5F">
      <w:pPr>
        <w:spacing w:after="0"/>
        <w:rPr>
          <w:rFonts w:ascii="Calibri" w:eastAsia="Calibri" w:hAnsi="Calibri" w:cs="Calibri"/>
          <w:sz w:val="22"/>
          <w:szCs w:val="22"/>
        </w:rPr>
      </w:pPr>
      <w:r>
        <w:rPr>
          <w:rFonts w:ascii="Calibri" w:eastAsia="Calibri" w:hAnsi="Calibri" w:cs="Calibri"/>
          <w:b/>
          <w:sz w:val="22"/>
          <w:szCs w:val="22"/>
        </w:rPr>
        <w:t>Time</w:t>
      </w:r>
    </w:p>
    <w:p w14:paraId="0F0CF290" w14:textId="352DFC8D" w:rsidR="002E5431" w:rsidRPr="00EC52A2" w:rsidRDefault="002E5431" w:rsidP="002E5431">
      <w:pPr>
        <w:pStyle w:val="NormalWeb"/>
        <w:spacing w:before="0" w:beforeAutospacing="0" w:after="0" w:afterAutospacing="0"/>
        <w:rPr>
          <w:rFonts w:ascii="Calibri" w:hAnsi="Calibri"/>
          <w:sz w:val="22"/>
          <w:szCs w:val="22"/>
        </w:rPr>
      </w:pPr>
      <w:r w:rsidRPr="00EC52A2">
        <w:rPr>
          <w:rFonts w:ascii="Calibri" w:hAnsi="Calibri"/>
          <w:sz w:val="22"/>
          <w:szCs w:val="22"/>
        </w:rPr>
        <w:t xml:space="preserve">Applicability </w:t>
      </w:r>
      <w:r w:rsidR="0051224F">
        <w:rPr>
          <w:rFonts w:ascii="Calibri" w:hAnsi="Calibri"/>
          <w:sz w:val="22"/>
          <w:szCs w:val="22"/>
        </w:rPr>
        <w:t xml:space="preserve">of these guidelines </w:t>
      </w:r>
      <w:r w:rsidRPr="00EC52A2">
        <w:rPr>
          <w:rFonts w:ascii="Calibri" w:hAnsi="Calibri"/>
          <w:sz w:val="22"/>
          <w:szCs w:val="22"/>
        </w:rPr>
        <w:t xml:space="preserve">shall be determined at the point of </w:t>
      </w:r>
      <w:r w:rsidR="002A328B">
        <w:rPr>
          <w:rFonts w:ascii="Calibri" w:hAnsi="Calibri"/>
          <w:sz w:val="22"/>
          <w:szCs w:val="22"/>
        </w:rPr>
        <w:t>p</w:t>
      </w:r>
      <w:r w:rsidRPr="00EC52A2">
        <w:rPr>
          <w:rFonts w:ascii="Calibri" w:hAnsi="Calibri"/>
          <w:sz w:val="22"/>
          <w:szCs w:val="22"/>
        </w:rPr>
        <w:t xml:space="preserve">roject </w:t>
      </w:r>
      <w:r w:rsidR="0051224F">
        <w:rPr>
          <w:rFonts w:ascii="Calibri" w:hAnsi="Calibri"/>
          <w:sz w:val="22"/>
          <w:szCs w:val="22"/>
        </w:rPr>
        <w:t xml:space="preserve">‘Listing’ as per </w:t>
      </w:r>
      <w:r w:rsidR="002A328B">
        <w:rPr>
          <w:rFonts w:ascii="Calibri" w:eastAsia="Calibri" w:hAnsi="Calibri" w:cs="Calibri"/>
          <w:sz w:val="22"/>
          <w:szCs w:val="22"/>
        </w:rPr>
        <w:t xml:space="preserve">Gold Standard </w:t>
      </w:r>
      <w:r w:rsidR="0051224F">
        <w:rPr>
          <w:rFonts w:ascii="Calibri" w:eastAsia="Calibri" w:hAnsi="Calibri" w:cs="Calibri"/>
          <w:sz w:val="22"/>
          <w:szCs w:val="22"/>
        </w:rPr>
        <w:t>Requirements</w:t>
      </w:r>
      <w:r w:rsidRPr="00EC52A2">
        <w:rPr>
          <w:rFonts w:ascii="Calibri" w:hAnsi="Calibri"/>
          <w:sz w:val="22"/>
          <w:szCs w:val="22"/>
        </w:rPr>
        <w:t>.  At that time the position is fixed for that project as follows:</w:t>
      </w:r>
    </w:p>
    <w:p w14:paraId="7EC23887" w14:textId="5B931EFA" w:rsidR="002E5431" w:rsidRPr="00EC52A2" w:rsidRDefault="002E5431" w:rsidP="002E5431">
      <w:pPr>
        <w:pStyle w:val="NormalWeb"/>
        <w:numPr>
          <w:ilvl w:val="0"/>
          <w:numId w:val="31"/>
        </w:numPr>
        <w:spacing w:before="0" w:beforeAutospacing="0" w:after="0" w:afterAutospacing="0"/>
        <w:rPr>
          <w:rFonts w:ascii="Calibri" w:hAnsi="Calibri"/>
          <w:sz w:val="22"/>
          <w:szCs w:val="22"/>
        </w:rPr>
      </w:pPr>
      <w:r w:rsidRPr="00EC52A2">
        <w:rPr>
          <w:rFonts w:ascii="Calibri" w:hAnsi="Calibri"/>
          <w:sz w:val="22"/>
          <w:szCs w:val="22"/>
        </w:rPr>
        <w:t xml:space="preserve">For </w:t>
      </w:r>
      <w:r w:rsidR="002A328B">
        <w:rPr>
          <w:rFonts w:ascii="Calibri" w:hAnsi="Calibri"/>
          <w:sz w:val="22"/>
          <w:szCs w:val="22"/>
        </w:rPr>
        <w:t>‘</w:t>
      </w:r>
      <w:r w:rsidRPr="00EC52A2">
        <w:rPr>
          <w:rFonts w:ascii="Calibri" w:hAnsi="Calibri"/>
          <w:sz w:val="22"/>
          <w:szCs w:val="22"/>
        </w:rPr>
        <w:t>E</w:t>
      </w:r>
      <w:r w:rsidR="002A328B">
        <w:rPr>
          <w:rFonts w:ascii="Calibri" w:hAnsi="Calibri"/>
          <w:sz w:val="22"/>
          <w:szCs w:val="22"/>
        </w:rPr>
        <w:t xml:space="preserve">nergy </w:t>
      </w:r>
      <w:r w:rsidRPr="00EC52A2">
        <w:rPr>
          <w:rFonts w:ascii="Calibri" w:hAnsi="Calibri"/>
          <w:sz w:val="22"/>
          <w:szCs w:val="22"/>
        </w:rPr>
        <w:t>&amp;</w:t>
      </w:r>
      <w:r w:rsidR="002A328B">
        <w:rPr>
          <w:rFonts w:ascii="Calibri" w:hAnsi="Calibri"/>
          <w:sz w:val="22"/>
          <w:szCs w:val="22"/>
        </w:rPr>
        <w:t xml:space="preserve"> </w:t>
      </w:r>
      <w:r w:rsidRPr="00EC52A2">
        <w:rPr>
          <w:rFonts w:ascii="Calibri" w:hAnsi="Calibri"/>
          <w:sz w:val="22"/>
          <w:szCs w:val="22"/>
        </w:rPr>
        <w:t>W</w:t>
      </w:r>
      <w:r w:rsidR="002A328B">
        <w:rPr>
          <w:rFonts w:ascii="Calibri" w:hAnsi="Calibri"/>
          <w:sz w:val="22"/>
          <w:szCs w:val="22"/>
        </w:rPr>
        <w:t>aste’ p</w:t>
      </w:r>
      <w:r w:rsidRPr="00EC52A2">
        <w:rPr>
          <w:rFonts w:ascii="Calibri" w:hAnsi="Calibri"/>
          <w:sz w:val="22"/>
          <w:szCs w:val="22"/>
        </w:rPr>
        <w:t xml:space="preserve">rojects </w:t>
      </w:r>
      <w:r w:rsidR="002A328B">
        <w:rPr>
          <w:rFonts w:ascii="Calibri" w:hAnsi="Calibri"/>
          <w:sz w:val="22"/>
          <w:szCs w:val="22"/>
        </w:rPr>
        <w:t>-</w:t>
      </w:r>
      <w:r w:rsidRPr="00EC52A2">
        <w:rPr>
          <w:rFonts w:ascii="Calibri" w:hAnsi="Calibri"/>
          <w:sz w:val="22"/>
          <w:szCs w:val="22"/>
        </w:rPr>
        <w:t xml:space="preserve"> fixed until conclusion of first </w:t>
      </w:r>
      <w:r w:rsidR="002A328B">
        <w:rPr>
          <w:rFonts w:ascii="Calibri" w:hAnsi="Calibri"/>
          <w:sz w:val="22"/>
          <w:szCs w:val="22"/>
        </w:rPr>
        <w:t>c</w:t>
      </w:r>
      <w:r w:rsidRPr="00EC52A2">
        <w:rPr>
          <w:rFonts w:ascii="Calibri" w:hAnsi="Calibri"/>
          <w:sz w:val="22"/>
          <w:szCs w:val="22"/>
        </w:rPr>
        <w:t xml:space="preserve">rediting </w:t>
      </w:r>
      <w:r w:rsidR="002A328B">
        <w:rPr>
          <w:rFonts w:ascii="Calibri" w:hAnsi="Calibri"/>
          <w:sz w:val="22"/>
          <w:szCs w:val="22"/>
        </w:rPr>
        <w:t>p</w:t>
      </w:r>
      <w:r w:rsidRPr="00EC52A2">
        <w:rPr>
          <w:rFonts w:ascii="Calibri" w:hAnsi="Calibri"/>
          <w:sz w:val="22"/>
          <w:szCs w:val="22"/>
        </w:rPr>
        <w:t>eriod (at which point applicability shall be assessed again)</w:t>
      </w:r>
    </w:p>
    <w:p w14:paraId="7BFF9869" w14:textId="7CF5BDA2" w:rsidR="002E5431" w:rsidRPr="00EC52A2" w:rsidRDefault="002E5431" w:rsidP="002E5431">
      <w:pPr>
        <w:pStyle w:val="NormalWeb"/>
        <w:numPr>
          <w:ilvl w:val="0"/>
          <w:numId w:val="31"/>
        </w:numPr>
        <w:spacing w:before="0" w:beforeAutospacing="0" w:after="0" w:afterAutospacing="0"/>
        <w:rPr>
          <w:rFonts w:ascii="Calibri" w:hAnsi="Calibri"/>
          <w:sz w:val="22"/>
          <w:szCs w:val="22"/>
        </w:rPr>
      </w:pPr>
      <w:r w:rsidRPr="00EC52A2">
        <w:rPr>
          <w:rFonts w:ascii="Calibri" w:hAnsi="Calibri"/>
          <w:sz w:val="22"/>
          <w:szCs w:val="22"/>
        </w:rPr>
        <w:t xml:space="preserve">For </w:t>
      </w:r>
      <w:r w:rsidR="002A328B">
        <w:rPr>
          <w:rFonts w:ascii="Calibri" w:hAnsi="Calibri"/>
          <w:sz w:val="22"/>
          <w:szCs w:val="22"/>
        </w:rPr>
        <w:t xml:space="preserve">‘Land Use </w:t>
      </w:r>
      <w:r w:rsidRPr="00EC52A2">
        <w:rPr>
          <w:rFonts w:ascii="Calibri" w:hAnsi="Calibri"/>
          <w:sz w:val="22"/>
          <w:szCs w:val="22"/>
        </w:rPr>
        <w:t>&amp;</w:t>
      </w:r>
      <w:r w:rsidR="002A328B">
        <w:rPr>
          <w:rFonts w:ascii="Calibri" w:hAnsi="Calibri"/>
          <w:sz w:val="22"/>
          <w:szCs w:val="22"/>
        </w:rPr>
        <w:t xml:space="preserve"> </w:t>
      </w:r>
      <w:r w:rsidRPr="00EC52A2">
        <w:rPr>
          <w:rFonts w:ascii="Calibri" w:hAnsi="Calibri"/>
          <w:sz w:val="22"/>
          <w:szCs w:val="22"/>
        </w:rPr>
        <w:t>F</w:t>
      </w:r>
      <w:r w:rsidR="002A328B">
        <w:rPr>
          <w:rFonts w:ascii="Calibri" w:hAnsi="Calibri"/>
          <w:sz w:val="22"/>
          <w:szCs w:val="22"/>
        </w:rPr>
        <w:t>orest’</w:t>
      </w:r>
      <w:r w:rsidRPr="00EC52A2">
        <w:rPr>
          <w:rFonts w:ascii="Calibri" w:hAnsi="Calibri"/>
          <w:sz w:val="22"/>
          <w:szCs w:val="22"/>
        </w:rPr>
        <w:t xml:space="preserve"> </w:t>
      </w:r>
      <w:r w:rsidR="002A328B">
        <w:rPr>
          <w:rFonts w:ascii="Calibri" w:hAnsi="Calibri"/>
          <w:sz w:val="22"/>
          <w:szCs w:val="22"/>
        </w:rPr>
        <w:t>p</w:t>
      </w:r>
      <w:r w:rsidRPr="00EC52A2">
        <w:rPr>
          <w:rFonts w:ascii="Calibri" w:hAnsi="Calibri"/>
          <w:sz w:val="22"/>
          <w:szCs w:val="22"/>
        </w:rPr>
        <w:t xml:space="preserve">rojects </w:t>
      </w:r>
      <w:r w:rsidR="002A328B">
        <w:rPr>
          <w:rFonts w:ascii="Calibri" w:hAnsi="Calibri"/>
          <w:sz w:val="22"/>
          <w:szCs w:val="22"/>
        </w:rPr>
        <w:t>-</w:t>
      </w:r>
      <w:r w:rsidRPr="00EC52A2">
        <w:rPr>
          <w:rFonts w:ascii="Calibri" w:hAnsi="Calibri"/>
          <w:sz w:val="22"/>
          <w:szCs w:val="22"/>
        </w:rPr>
        <w:t xml:space="preserve"> </w:t>
      </w:r>
      <w:commentRangeStart w:id="1"/>
      <w:r w:rsidRPr="00EC52A2">
        <w:rPr>
          <w:rFonts w:ascii="Calibri" w:hAnsi="Calibri"/>
          <w:sz w:val="22"/>
          <w:szCs w:val="22"/>
        </w:rPr>
        <w:t>for entirety of crediting period</w:t>
      </w:r>
      <w:commentRangeEnd w:id="1"/>
      <w:r w:rsidR="005C49C5">
        <w:rPr>
          <w:rStyle w:val="CommentReference"/>
          <w:rFonts w:ascii="Cambria" w:hAnsi="Cambria" w:cs="Cambria"/>
          <w:color w:val="000000"/>
        </w:rPr>
        <w:commentReference w:id="1"/>
      </w:r>
    </w:p>
    <w:p w14:paraId="178700A3" w14:textId="01E4BD6B" w:rsidR="002E5431" w:rsidRDefault="002A328B" w:rsidP="002E5431">
      <w:pPr>
        <w:pStyle w:val="NormalWeb"/>
        <w:spacing w:before="0" w:beforeAutospacing="0" w:after="0" w:afterAutospacing="0"/>
        <w:rPr>
          <w:rFonts w:ascii="Calibri" w:hAnsi="Calibri"/>
          <w:sz w:val="22"/>
          <w:szCs w:val="22"/>
        </w:rPr>
      </w:pPr>
      <w:r>
        <w:rPr>
          <w:rFonts w:ascii="Calibri" w:hAnsi="Calibri"/>
          <w:sz w:val="22"/>
          <w:szCs w:val="22"/>
        </w:rPr>
        <w:br/>
        <w:t>Gold Standard</w:t>
      </w:r>
      <w:r w:rsidR="002E5431" w:rsidRPr="00EC52A2">
        <w:rPr>
          <w:rFonts w:ascii="Calibri" w:hAnsi="Calibri"/>
          <w:sz w:val="22"/>
          <w:szCs w:val="22"/>
        </w:rPr>
        <w:t xml:space="preserve"> justifie</w:t>
      </w:r>
      <w:r>
        <w:rPr>
          <w:rFonts w:ascii="Calibri" w:hAnsi="Calibri"/>
          <w:sz w:val="22"/>
          <w:szCs w:val="22"/>
        </w:rPr>
        <w:t>s this process</w:t>
      </w:r>
      <w:r w:rsidR="002E5431" w:rsidRPr="00EC52A2">
        <w:rPr>
          <w:rFonts w:ascii="Calibri" w:hAnsi="Calibri"/>
          <w:sz w:val="22"/>
          <w:szCs w:val="22"/>
        </w:rPr>
        <w:t xml:space="preserve"> on the basis that should a </w:t>
      </w:r>
      <w:r>
        <w:rPr>
          <w:rFonts w:ascii="Calibri" w:hAnsi="Calibri"/>
          <w:sz w:val="22"/>
          <w:szCs w:val="22"/>
        </w:rPr>
        <w:t>GHG E</w:t>
      </w:r>
      <w:r w:rsidRPr="00EC52A2">
        <w:rPr>
          <w:rFonts w:ascii="Calibri" w:hAnsi="Calibri"/>
          <w:sz w:val="22"/>
          <w:szCs w:val="22"/>
        </w:rPr>
        <w:t xml:space="preserve">missions </w:t>
      </w:r>
      <w:r>
        <w:rPr>
          <w:rFonts w:ascii="Calibri" w:hAnsi="Calibri"/>
          <w:sz w:val="22"/>
          <w:szCs w:val="22"/>
        </w:rPr>
        <w:t>T</w:t>
      </w:r>
      <w:r w:rsidRPr="00EC52A2">
        <w:rPr>
          <w:rFonts w:ascii="Calibri" w:hAnsi="Calibri"/>
          <w:sz w:val="22"/>
          <w:szCs w:val="22"/>
        </w:rPr>
        <w:t xml:space="preserve">rading </w:t>
      </w:r>
      <w:r>
        <w:rPr>
          <w:rFonts w:ascii="Calibri" w:hAnsi="Calibri"/>
          <w:sz w:val="22"/>
          <w:szCs w:val="22"/>
        </w:rPr>
        <w:t>Scheme</w:t>
      </w:r>
      <w:r w:rsidRPr="00EC52A2">
        <w:rPr>
          <w:rFonts w:ascii="Calibri" w:hAnsi="Calibri"/>
          <w:sz w:val="22"/>
          <w:szCs w:val="22"/>
        </w:rPr>
        <w:t xml:space="preserve"> </w:t>
      </w:r>
      <w:r w:rsidR="002E5431" w:rsidRPr="00EC52A2">
        <w:rPr>
          <w:rFonts w:ascii="Calibri" w:hAnsi="Calibri"/>
          <w:sz w:val="22"/>
          <w:szCs w:val="22"/>
        </w:rPr>
        <w:t xml:space="preserve">(for example) commence in a given country during </w:t>
      </w:r>
      <w:r w:rsidR="0051224F">
        <w:rPr>
          <w:rFonts w:ascii="Calibri" w:hAnsi="Calibri"/>
          <w:sz w:val="22"/>
          <w:szCs w:val="22"/>
        </w:rPr>
        <w:t>the</w:t>
      </w:r>
      <w:r w:rsidR="0051224F" w:rsidRPr="00EC52A2">
        <w:rPr>
          <w:rFonts w:ascii="Calibri" w:hAnsi="Calibri"/>
          <w:sz w:val="22"/>
          <w:szCs w:val="22"/>
        </w:rPr>
        <w:t xml:space="preserve"> </w:t>
      </w:r>
      <w:r w:rsidR="002E5431" w:rsidRPr="00EC52A2">
        <w:rPr>
          <w:rFonts w:ascii="Calibri" w:hAnsi="Calibri"/>
          <w:sz w:val="22"/>
          <w:szCs w:val="22"/>
        </w:rPr>
        <w:t>crediting period then the G</w:t>
      </w:r>
      <w:r>
        <w:rPr>
          <w:rFonts w:ascii="Calibri" w:hAnsi="Calibri"/>
          <w:sz w:val="22"/>
          <w:szCs w:val="22"/>
        </w:rPr>
        <w:t>old Standard</w:t>
      </w:r>
      <w:r w:rsidR="002E5431" w:rsidRPr="00EC52A2">
        <w:rPr>
          <w:rFonts w:ascii="Calibri" w:hAnsi="Calibri"/>
          <w:sz w:val="22"/>
          <w:szCs w:val="22"/>
        </w:rPr>
        <w:t xml:space="preserve"> project would have notified the Designated National Authority already </w:t>
      </w:r>
      <w:r>
        <w:rPr>
          <w:rFonts w:ascii="Calibri" w:hAnsi="Calibri"/>
          <w:sz w:val="22"/>
          <w:szCs w:val="22"/>
        </w:rPr>
        <w:t>during</w:t>
      </w:r>
      <w:r w:rsidR="0051224F">
        <w:rPr>
          <w:rFonts w:ascii="Calibri" w:hAnsi="Calibri"/>
          <w:sz w:val="22"/>
          <w:szCs w:val="22"/>
        </w:rPr>
        <w:t xml:space="preserve"> stakeholder consultation process</w:t>
      </w:r>
      <w:r w:rsidR="002E5431" w:rsidRPr="00EC52A2">
        <w:rPr>
          <w:rFonts w:ascii="Calibri" w:hAnsi="Calibri"/>
          <w:sz w:val="22"/>
          <w:szCs w:val="22"/>
        </w:rPr>
        <w:t>.  It would be for the new regulatory scheme at that point to take account of any G</w:t>
      </w:r>
      <w:r>
        <w:rPr>
          <w:rFonts w:ascii="Calibri" w:hAnsi="Calibri"/>
          <w:sz w:val="22"/>
          <w:szCs w:val="22"/>
        </w:rPr>
        <w:t>old Standard</w:t>
      </w:r>
      <w:r w:rsidR="002E5431" w:rsidRPr="00EC52A2">
        <w:rPr>
          <w:rFonts w:ascii="Calibri" w:hAnsi="Calibri"/>
          <w:sz w:val="22"/>
          <w:szCs w:val="22"/>
        </w:rPr>
        <w:t xml:space="preserve"> projects currently in operation.</w:t>
      </w:r>
    </w:p>
    <w:p w14:paraId="7BEF772E" w14:textId="1DC0CE52" w:rsidR="004E34F5" w:rsidRDefault="00F611E6" w:rsidP="006E5C5F">
      <w:pPr>
        <w:spacing w:after="0"/>
        <w:rPr>
          <w:rFonts w:ascii="Calibri" w:eastAsia="Calibri" w:hAnsi="Calibri" w:cs="Calibri"/>
          <w:b/>
          <w:sz w:val="22"/>
          <w:szCs w:val="22"/>
        </w:rPr>
      </w:pPr>
      <w:r w:rsidRPr="00EC52A2">
        <w:rPr>
          <w:rFonts w:ascii="Calibri" w:eastAsia="Calibri" w:hAnsi="Calibri" w:cs="Calibri"/>
          <w:sz w:val="22"/>
          <w:szCs w:val="22"/>
        </w:rPr>
        <w:br w:type="page"/>
      </w:r>
    </w:p>
    <w:p w14:paraId="3EF6E982" w14:textId="524FB1A7" w:rsidR="00F15AA0" w:rsidRPr="00EC52A2" w:rsidRDefault="00A775CA" w:rsidP="00F15AA0">
      <w:pPr>
        <w:pStyle w:val="Normal1"/>
        <w:numPr>
          <w:ilvl w:val="0"/>
          <w:numId w:val="1"/>
        </w:numPr>
        <w:spacing w:after="0"/>
        <w:contextualSpacing w:val="0"/>
        <w:rPr>
          <w:rFonts w:ascii="Calibri" w:eastAsia="Calibri" w:hAnsi="Calibri" w:cs="Calibri"/>
          <w:b/>
          <w:sz w:val="22"/>
          <w:szCs w:val="22"/>
        </w:rPr>
      </w:pPr>
      <w:r>
        <w:rPr>
          <w:rFonts w:ascii="Calibri" w:eastAsia="Calibri" w:hAnsi="Calibri" w:cs="Calibri"/>
          <w:b/>
          <w:sz w:val="22"/>
          <w:szCs w:val="22"/>
        </w:rPr>
        <w:lastRenderedPageBreak/>
        <w:t>REQUIREMENTS</w:t>
      </w:r>
    </w:p>
    <w:p w14:paraId="24777216" w14:textId="04EB4EA5" w:rsidR="004721A3" w:rsidRDefault="004721A3" w:rsidP="005159D5">
      <w:pPr>
        <w:pStyle w:val="NormalWeb"/>
        <w:spacing w:before="0" w:beforeAutospacing="0" w:after="0" w:afterAutospacing="0"/>
        <w:rPr>
          <w:rFonts w:ascii="Calibri" w:hAnsi="Calibri"/>
          <w:b/>
          <w:sz w:val="22"/>
          <w:szCs w:val="22"/>
        </w:rPr>
      </w:pPr>
    </w:p>
    <w:p w14:paraId="1EB2FDE6" w14:textId="1A3095F0" w:rsidR="00F558AC" w:rsidRPr="00EC52A2" w:rsidRDefault="00D72D17" w:rsidP="006E5C5F">
      <w:pPr>
        <w:pStyle w:val="NormalWeb"/>
        <w:spacing w:before="0" w:beforeAutospacing="0" w:after="0" w:afterAutospacing="0"/>
        <w:rPr>
          <w:rFonts w:ascii="Calibri" w:hAnsi="Calibri"/>
          <w:sz w:val="22"/>
          <w:szCs w:val="22"/>
        </w:rPr>
      </w:pPr>
      <w:r w:rsidRPr="00EC52A2">
        <w:rPr>
          <w:rFonts w:ascii="Calibri" w:hAnsi="Calibri"/>
          <w:sz w:val="22"/>
          <w:szCs w:val="22"/>
        </w:rPr>
        <w:t>Prior to t</w:t>
      </w:r>
      <w:r w:rsidR="008B490D" w:rsidRPr="00EC52A2">
        <w:rPr>
          <w:rFonts w:ascii="Calibri" w:hAnsi="Calibri"/>
          <w:sz w:val="22"/>
          <w:szCs w:val="22"/>
        </w:rPr>
        <w:t xml:space="preserve">he </w:t>
      </w:r>
      <w:r w:rsidR="0051224F">
        <w:rPr>
          <w:rFonts w:ascii="Calibri" w:hAnsi="Calibri"/>
          <w:sz w:val="22"/>
          <w:szCs w:val="22"/>
        </w:rPr>
        <w:t xml:space="preserve">‘Listing’ of </w:t>
      </w:r>
      <w:r w:rsidR="008B490D" w:rsidRPr="00EC52A2">
        <w:rPr>
          <w:rFonts w:ascii="Calibri" w:hAnsi="Calibri"/>
          <w:sz w:val="22"/>
          <w:szCs w:val="22"/>
        </w:rPr>
        <w:t xml:space="preserve">Gold Standard </w:t>
      </w:r>
      <w:r w:rsidR="005159D5">
        <w:rPr>
          <w:rFonts w:ascii="Calibri" w:hAnsi="Calibri"/>
          <w:sz w:val="22"/>
          <w:szCs w:val="22"/>
        </w:rPr>
        <w:t>p</w:t>
      </w:r>
      <w:r w:rsidR="005159D5" w:rsidRPr="00EC52A2">
        <w:rPr>
          <w:rFonts w:ascii="Calibri" w:hAnsi="Calibri"/>
          <w:sz w:val="22"/>
          <w:szCs w:val="22"/>
        </w:rPr>
        <w:t xml:space="preserve">roject </w:t>
      </w:r>
      <w:r w:rsidR="008B490D" w:rsidRPr="00EC52A2">
        <w:rPr>
          <w:rFonts w:ascii="Calibri" w:hAnsi="Calibri"/>
          <w:sz w:val="22"/>
          <w:szCs w:val="22"/>
        </w:rPr>
        <w:t xml:space="preserve">the </w:t>
      </w:r>
      <w:r w:rsidR="005159D5">
        <w:rPr>
          <w:rFonts w:ascii="Calibri" w:hAnsi="Calibri"/>
          <w:sz w:val="22"/>
          <w:szCs w:val="22"/>
        </w:rPr>
        <w:t>project o</w:t>
      </w:r>
      <w:r w:rsidR="005159D5" w:rsidRPr="00EC52A2">
        <w:rPr>
          <w:rFonts w:ascii="Calibri" w:hAnsi="Calibri"/>
          <w:sz w:val="22"/>
          <w:szCs w:val="22"/>
        </w:rPr>
        <w:t>wner</w:t>
      </w:r>
      <w:r w:rsidR="00F145CC" w:rsidRPr="00EC52A2">
        <w:rPr>
          <w:rFonts w:ascii="Calibri" w:hAnsi="Calibri"/>
          <w:sz w:val="22"/>
          <w:szCs w:val="22"/>
        </w:rPr>
        <w:t xml:space="preserve"> </w:t>
      </w:r>
      <w:r w:rsidRPr="00EC52A2">
        <w:rPr>
          <w:rFonts w:ascii="Calibri" w:hAnsi="Calibri"/>
          <w:sz w:val="22"/>
          <w:szCs w:val="22"/>
        </w:rPr>
        <w:t>shall</w:t>
      </w:r>
      <w:r w:rsidR="00F145CC" w:rsidRPr="00EC52A2">
        <w:rPr>
          <w:rFonts w:ascii="Calibri" w:hAnsi="Calibri"/>
          <w:sz w:val="22"/>
          <w:szCs w:val="22"/>
        </w:rPr>
        <w:t xml:space="preserve"> demonstrat</w:t>
      </w:r>
      <w:r w:rsidRPr="00EC52A2">
        <w:rPr>
          <w:rFonts w:ascii="Calibri" w:hAnsi="Calibri"/>
          <w:sz w:val="22"/>
          <w:szCs w:val="22"/>
        </w:rPr>
        <w:t>e</w:t>
      </w:r>
      <w:r w:rsidR="00585BB2">
        <w:rPr>
          <w:rFonts w:ascii="Calibri" w:hAnsi="Calibri"/>
          <w:sz w:val="22"/>
          <w:szCs w:val="22"/>
        </w:rPr>
        <w:t xml:space="preserve"> </w:t>
      </w:r>
      <w:r w:rsidR="00E60D57">
        <w:rPr>
          <w:rFonts w:ascii="Calibri" w:hAnsi="Calibri"/>
          <w:sz w:val="22"/>
          <w:szCs w:val="22"/>
        </w:rPr>
        <w:t xml:space="preserve">with documentary evidence </w:t>
      </w:r>
      <w:r w:rsidRPr="00EC52A2">
        <w:rPr>
          <w:rFonts w:ascii="Calibri" w:hAnsi="Calibri"/>
          <w:sz w:val="22"/>
          <w:szCs w:val="22"/>
        </w:rPr>
        <w:t>that no</w:t>
      </w:r>
      <w:r w:rsidR="00F145CC" w:rsidRPr="00EC52A2">
        <w:rPr>
          <w:rFonts w:ascii="Calibri" w:hAnsi="Calibri"/>
          <w:sz w:val="22"/>
          <w:szCs w:val="22"/>
        </w:rPr>
        <w:t xml:space="preserve"> </w:t>
      </w:r>
      <w:r w:rsidR="00792CEA" w:rsidRPr="00EC52A2">
        <w:rPr>
          <w:rFonts w:ascii="Calibri" w:hAnsi="Calibri"/>
          <w:sz w:val="22"/>
          <w:szCs w:val="22"/>
        </w:rPr>
        <w:t>Double Count</w:t>
      </w:r>
      <w:r w:rsidR="008B490D" w:rsidRPr="00EC52A2">
        <w:rPr>
          <w:rFonts w:ascii="Calibri" w:hAnsi="Calibri"/>
          <w:sz w:val="22"/>
          <w:szCs w:val="22"/>
        </w:rPr>
        <w:t xml:space="preserve">ing </w:t>
      </w:r>
      <w:r w:rsidRPr="00EC52A2">
        <w:rPr>
          <w:rFonts w:ascii="Calibri" w:hAnsi="Calibri"/>
          <w:sz w:val="22"/>
          <w:szCs w:val="22"/>
        </w:rPr>
        <w:t>can occur</w:t>
      </w:r>
      <w:r w:rsidR="00F145CC" w:rsidRPr="00EC52A2">
        <w:rPr>
          <w:rFonts w:ascii="Calibri" w:hAnsi="Calibri"/>
          <w:sz w:val="22"/>
          <w:szCs w:val="22"/>
        </w:rPr>
        <w:t>.  This</w:t>
      </w:r>
      <w:r w:rsidR="00C27F22" w:rsidRPr="00EC52A2">
        <w:rPr>
          <w:rFonts w:ascii="Calibri" w:hAnsi="Calibri"/>
          <w:sz w:val="22"/>
          <w:szCs w:val="22"/>
        </w:rPr>
        <w:t xml:space="preserve"> can be demonstrated </w:t>
      </w:r>
      <w:r w:rsidR="005159D5">
        <w:rPr>
          <w:rFonts w:ascii="Calibri" w:hAnsi="Calibri"/>
          <w:sz w:val="22"/>
          <w:szCs w:val="22"/>
        </w:rPr>
        <w:t xml:space="preserve">by fulfilling one of the </w:t>
      </w:r>
      <w:r w:rsidR="00C27F22" w:rsidRPr="00EC52A2">
        <w:rPr>
          <w:rFonts w:ascii="Calibri" w:hAnsi="Calibri"/>
          <w:sz w:val="22"/>
          <w:szCs w:val="22"/>
        </w:rPr>
        <w:t>follow</w:t>
      </w:r>
      <w:r w:rsidR="005159D5">
        <w:rPr>
          <w:rFonts w:ascii="Calibri" w:hAnsi="Calibri"/>
          <w:sz w:val="22"/>
          <w:szCs w:val="22"/>
        </w:rPr>
        <w:t>ing options</w:t>
      </w:r>
      <w:r w:rsidR="0051224F">
        <w:rPr>
          <w:rFonts w:ascii="Calibri" w:hAnsi="Calibri"/>
          <w:sz w:val="22"/>
          <w:szCs w:val="22"/>
        </w:rPr>
        <w:t xml:space="preserve"> under scenario 1</w:t>
      </w:r>
      <w:r w:rsidR="007548EC" w:rsidRPr="00EC52A2">
        <w:rPr>
          <w:rFonts w:ascii="Calibri" w:hAnsi="Calibri"/>
          <w:sz w:val="22"/>
          <w:szCs w:val="22"/>
        </w:rPr>
        <w:t>:</w:t>
      </w:r>
    </w:p>
    <w:p w14:paraId="53473C15" w14:textId="77777777" w:rsidR="002E5431" w:rsidRDefault="002E5431" w:rsidP="006E5C5F">
      <w:pPr>
        <w:pStyle w:val="NormalWeb"/>
        <w:spacing w:before="0" w:beforeAutospacing="0" w:after="0" w:afterAutospacing="0"/>
        <w:rPr>
          <w:rFonts w:ascii="Calibri" w:hAnsi="Calibri"/>
          <w:sz w:val="22"/>
          <w:szCs w:val="22"/>
          <w:u w:val="single"/>
        </w:rPr>
      </w:pPr>
    </w:p>
    <w:p w14:paraId="07F81164" w14:textId="24081BC2" w:rsidR="005159D5" w:rsidRPr="009416CF" w:rsidRDefault="00B776C7" w:rsidP="006E5C5F">
      <w:pPr>
        <w:pStyle w:val="NormalWeb"/>
        <w:spacing w:before="0" w:beforeAutospacing="0" w:after="0" w:afterAutospacing="0"/>
        <w:rPr>
          <w:rFonts w:ascii="Calibri" w:hAnsi="Calibri"/>
          <w:b/>
          <w:sz w:val="22"/>
          <w:szCs w:val="22"/>
        </w:rPr>
      </w:pPr>
      <w:r>
        <w:rPr>
          <w:rFonts w:ascii="Calibri" w:hAnsi="Calibri"/>
          <w:b/>
          <w:sz w:val="22"/>
          <w:szCs w:val="22"/>
        </w:rPr>
        <w:t>Scenario</w:t>
      </w:r>
      <w:r w:rsidRPr="009416CF">
        <w:rPr>
          <w:rFonts w:ascii="Calibri" w:hAnsi="Calibri"/>
          <w:b/>
          <w:sz w:val="22"/>
          <w:szCs w:val="22"/>
        </w:rPr>
        <w:t xml:space="preserve"> </w:t>
      </w:r>
      <w:r w:rsidR="00C27F22" w:rsidRPr="009416CF">
        <w:rPr>
          <w:rFonts w:ascii="Calibri" w:hAnsi="Calibri"/>
          <w:b/>
          <w:sz w:val="22"/>
          <w:szCs w:val="22"/>
        </w:rPr>
        <w:t>1</w:t>
      </w:r>
    </w:p>
    <w:p w14:paraId="34A78305" w14:textId="758A6119" w:rsidR="00C27F22" w:rsidRPr="009416CF" w:rsidRDefault="005159D5" w:rsidP="006E5C5F">
      <w:pPr>
        <w:pStyle w:val="NormalWeb"/>
        <w:spacing w:before="0" w:beforeAutospacing="0" w:after="0" w:afterAutospacing="0"/>
        <w:rPr>
          <w:rFonts w:ascii="Calibri" w:hAnsi="Calibri"/>
          <w:sz w:val="22"/>
          <w:szCs w:val="22"/>
        </w:rPr>
      </w:pPr>
      <w:r>
        <w:rPr>
          <w:rFonts w:ascii="Calibri" w:hAnsi="Calibri"/>
          <w:sz w:val="22"/>
          <w:szCs w:val="22"/>
        </w:rPr>
        <w:t xml:space="preserve">The project owner shall demonstrate </w:t>
      </w:r>
      <w:r w:rsidR="00C27F22" w:rsidRPr="009416CF">
        <w:rPr>
          <w:rFonts w:ascii="Calibri" w:hAnsi="Calibri"/>
          <w:sz w:val="22"/>
          <w:szCs w:val="22"/>
        </w:rPr>
        <w:t>that:</w:t>
      </w:r>
    </w:p>
    <w:p w14:paraId="752F5987" w14:textId="3B529BEF" w:rsidR="004371FE" w:rsidRPr="005159D5" w:rsidRDefault="004371FE" w:rsidP="005159D5">
      <w:pPr>
        <w:pStyle w:val="NormalWeb"/>
        <w:numPr>
          <w:ilvl w:val="0"/>
          <w:numId w:val="32"/>
        </w:numPr>
        <w:spacing w:before="0" w:beforeAutospacing="0" w:after="0" w:afterAutospacing="0"/>
        <w:rPr>
          <w:rFonts w:ascii="Calibri" w:hAnsi="Calibri"/>
          <w:sz w:val="22"/>
          <w:szCs w:val="22"/>
        </w:rPr>
      </w:pPr>
      <w:r w:rsidRPr="00EC52A2">
        <w:rPr>
          <w:rFonts w:ascii="Calibri" w:hAnsi="Calibri"/>
          <w:sz w:val="22"/>
          <w:szCs w:val="22"/>
        </w:rPr>
        <w:t xml:space="preserve">The project is not within a country/region with an active </w:t>
      </w:r>
      <w:r w:rsidR="005159D5">
        <w:rPr>
          <w:rFonts w:ascii="Calibri" w:hAnsi="Calibri"/>
          <w:sz w:val="22"/>
          <w:szCs w:val="22"/>
        </w:rPr>
        <w:t>GHG E</w:t>
      </w:r>
      <w:r w:rsidR="005159D5" w:rsidRPr="00EC52A2">
        <w:rPr>
          <w:rFonts w:ascii="Calibri" w:hAnsi="Calibri"/>
          <w:sz w:val="22"/>
          <w:szCs w:val="22"/>
        </w:rPr>
        <w:t xml:space="preserve">missions </w:t>
      </w:r>
      <w:r w:rsidR="005159D5">
        <w:rPr>
          <w:rFonts w:ascii="Calibri" w:hAnsi="Calibri"/>
          <w:sz w:val="22"/>
          <w:szCs w:val="22"/>
        </w:rPr>
        <w:t>T</w:t>
      </w:r>
      <w:r w:rsidR="005159D5" w:rsidRPr="00EC52A2">
        <w:rPr>
          <w:rFonts w:ascii="Calibri" w:hAnsi="Calibri"/>
          <w:sz w:val="22"/>
          <w:szCs w:val="22"/>
        </w:rPr>
        <w:t xml:space="preserve">rading </w:t>
      </w:r>
      <w:r w:rsidR="005159D5">
        <w:rPr>
          <w:rFonts w:ascii="Calibri" w:hAnsi="Calibri"/>
          <w:sz w:val="22"/>
          <w:szCs w:val="22"/>
        </w:rPr>
        <w:t>Scheme</w:t>
      </w:r>
      <w:r w:rsidR="005159D5" w:rsidRPr="005159D5">
        <w:rPr>
          <w:rFonts w:ascii="Calibri" w:hAnsi="Calibri"/>
          <w:sz w:val="22"/>
          <w:szCs w:val="22"/>
        </w:rPr>
        <w:t>,</w:t>
      </w:r>
      <w:r w:rsidRPr="009416CF">
        <w:rPr>
          <w:rFonts w:ascii="Calibri" w:hAnsi="Calibri"/>
          <w:color w:val="808080" w:themeColor="background1" w:themeShade="80"/>
          <w:sz w:val="22"/>
          <w:szCs w:val="22"/>
        </w:rPr>
        <w:t xml:space="preserve"> OR</w:t>
      </w:r>
    </w:p>
    <w:p w14:paraId="004DCE2D" w14:textId="4B7146D0" w:rsidR="00C27F22" w:rsidRPr="00EC52A2" w:rsidRDefault="00C27F22" w:rsidP="005159D5">
      <w:pPr>
        <w:pStyle w:val="NormalWeb"/>
        <w:numPr>
          <w:ilvl w:val="0"/>
          <w:numId w:val="32"/>
        </w:numPr>
        <w:spacing w:before="0" w:beforeAutospacing="0" w:after="0" w:afterAutospacing="0"/>
        <w:rPr>
          <w:rFonts w:ascii="Calibri" w:hAnsi="Calibri"/>
          <w:sz w:val="22"/>
          <w:szCs w:val="22"/>
        </w:rPr>
      </w:pPr>
      <w:r w:rsidRPr="00EC52A2">
        <w:rPr>
          <w:rFonts w:ascii="Calibri" w:hAnsi="Calibri"/>
          <w:sz w:val="22"/>
          <w:szCs w:val="22"/>
        </w:rPr>
        <w:t>Th</w:t>
      </w:r>
      <w:r w:rsidR="004371FE" w:rsidRPr="00EC52A2">
        <w:rPr>
          <w:rFonts w:ascii="Calibri" w:hAnsi="Calibri"/>
          <w:sz w:val="22"/>
          <w:szCs w:val="22"/>
        </w:rPr>
        <w:t>e</w:t>
      </w:r>
      <w:r w:rsidR="00D72D17" w:rsidRPr="00EC52A2">
        <w:rPr>
          <w:rFonts w:ascii="Calibri" w:hAnsi="Calibri"/>
          <w:sz w:val="22"/>
          <w:szCs w:val="22"/>
        </w:rPr>
        <w:t xml:space="preserve"> GHG emissions</w:t>
      </w:r>
      <w:r w:rsidR="001C1886">
        <w:rPr>
          <w:rFonts w:ascii="Calibri" w:hAnsi="Calibri"/>
          <w:sz w:val="22"/>
          <w:szCs w:val="22"/>
        </w:rPr>
        <w:t xml:space="preserve"> reductions</w:t>
      </w:r>
      <w:r w:rsidR="00D72D17" w:rsidRPr="00EC52A2">
        <w:rPr>
          <w:rFonts w:ascii="Calibri" w:hAnsi="Calibri"/>
          <w:sz w:val="22"/>
          <w:szCs w:val="22"/>
        </w:rPr>
        <w:t xml:space="preserve">/removals are </w:t>
      </w:r>
      <w:r w:rsidRPr="00EC52A2">
        <w:rPr>
          <w:rFonts w:ascii="Calibri" w:hAnsi="Calibri"/>
          <w:sz w:val="22"/>
          <w:szCs w:val="22"/>
        </w:rPr>
        <w:t xml:space="preserve">not </w:t>
      </w:r>
      <w:r w:rsidR="001C1886">
        <w:rPr>
          <w:rFonts w:ascii="Calibri" w:hAnsi="Calibri"/>
          <w:sz w:val="22"/>
          <w:szCs w:val="22"/>
        </w:rPr>
        <w:t>accounted</w:t>
      </w:r>
      <w:r w:rsidRPr="00EC52A2">
        <w:rPr>
          <w:rFonts w:ascii="Calibri" w:hAnsi="Calibri"/>
          <w:sz w:val="22"/>
          <w:szCs w:val="22"/>
        </w:rPr>
        <w:t xml:space="preserve"> within the </w:t>
      </w:r>
      <w:r w:rsidR="001C1886">
        <w:rPr>
          <w:rFonts w:ascii="Calibri" w:hAnsi="Calibri"/>
          <w:sz w:val="22"/>
          <w:szCs w:val="22"/>
        </w:rPr>
        <w:t xml:space="preserve">accounting system of the </w:t>
      </w:r>
      <w:r w:rsidR="001C1886" w:rsidRPr="00EC52A2">
        <w:rPr>
          <w:rFonts w:ascii="Calibri" w:hAnsi="Calibri"/>
          <w:sz w:val="22"/>
          <w:szCs w:val="22"/>
        </w:rPr>
        <w:t>host country/regional regulator</w:t>
      </w:r>
      <w:r w:rsidR="005159D5">
        <w:rPr>
          <w:rFonts w:ascii="Calibri" w:hAnsi="Calibri"/>
          <w:sz w:val="22"/>
          <w:szCs w:val="22"/>
        </w:rPr>
        <w:t>,</w:t>
      </w:r>
      <w:r w:rsidR="00D72D17" w:rsidRPr="00EC52A2">
        <w:rPr>
          <w:rFonts w:ascii="Calibri" w:hAnsi="Calibri"/>
          <w:sz w:val="22"/>
          <w:szCs w:val="22"/>
        </w:rPr>
        <w:t xml:space="preserve"> </w:t>
      </w:r>
      <w:r w:rsidR="00D72D17" w:rsidRPr="009416CF">
        <w:rPr>
          <w:rFonts w:ascii="Calibri" w:hAnsi="Calibri"/>
          <w:color w:val="808080" w:themeColor="background1" w:themeShade="80"/>
          <w:sz w:val="22"/>
          <w:szCs w:val="22"/>
        </w:rPr>
        <w:t>OR</w:t>
      </w:r>
    </w:p>
    <w:p w14:paraId="769D47E0" w14:textId="4C10516E" w:rsidR="001C1886" w:rsidRPr="00EC52A2" w:rsidRDefault="001C1886" w:rsidP="001C1886">
      <w:pPr>
        <w:pStyle w:val="NormalWeb"/>
        <w:numPr>
          <w:ilvl w:val="0"/>
          <w:numId w:val="32"/>
        </w:numPr>
        <w:spacing w:before="0" w:beforeAutospacing="0" w:after="0" w:afterAutospacing="0"/>
        <w:rPr>
          <w:rFonts w:ascii="Calibri" w:hAnsi="Calibri"/>
          <w:sz w:val="22"/>
          <w:szCs w:val="22"/>
        </w:rPr>
      </w:pPr>
      <w:commentRangeStart w:id="2"/>
      <w:r w:rsidRPr="00EC52A2">
        <w:rPr>
          <w:rFonts w:ascii="Calibri" w:hAnsi="Calibri"/>
          <w:sz w:val="22"/>
          <w:szCs w:val="22"/>
        </w:rPr>
        <w:t xml:space="preserve">The GHG </w:t>
      </w:r>
      <w:r>
        <w:rPr>
          <w:rFonts w:ascii="Calibri" w:hAnsi="Calibri"/>
          <w:sz w:val="22"/>
          <w:szCs w:val="22"/>
        </w:rPr>
        <w:t>emission reduction</w:t>
      </w:r>
      <w:r w:rsidRPr="00EC52A2">
        <w:rPr>
          <w:rFonts w:ascii="Calibri" w:hAnsi="Calibri"/>
          <w:sz w:val="22"/>
          <w:szCs w:val="22"/>
        </w:rPr>
        <w:t xml:space="preserve"> are </w:t>
      </w:r>
      <w:r>
        <w:rPr>
          <w:rFonts w:ascii="Calibri" w:hAnsi="Calibri"/>
          <w:sz w:val="22"/>
          <w:szCs w:val="22"/>
        </w:rPr>
        <w:t>accounted</w:t>
      </w:r>
      <w:r w:rsidRPr="00EC52A2">
        <w:rPr>
          <w:rFonts w:ascii="Calibri" w:hAnsi="Calibri"/>
          <w:sz w:val="22"/>
          <w:szCs w:val="22"/>
        </w:rPr>
        <w:t xml:space="preserve"> within </w:t>
      </w:r>
      <w:r>
        <w:rPr>
          <w:rFonts w:ascii="Calibri" w:hAnsi="Calibri"/>
          <w:sz w:val="22"/>
          <w:szCs w:val="22"/>
        </w:rPr>
        <w:t>a</w:t>
      </w:r>
      <w:r w:rsidRPr="00EC52A2">
        <w:rPr>
          <w:rFonts w:ascii="Calibri" w:hAnsi="Calibri"/>
          <w:sz w:val="22"/>
          <w:szCs w:val="22"/>
        </w:rPr>
        <w:t xml:space="preserve"> scope of the </w:t>
      </w:r>
      <w:r>
        <w:rPr>
          <w:rFonts w:ascii="Calibri" w:hAnsi="Calibri"/>
          <w:sz w:val="22"/>
          <w:szCs w:val="22"/>
        </w:rPr>
        <w:t xml:space="preserve">accounting system of the </w:t>
      </w:r>
      <w:r w:rsidRPr="00EC52A2">
        <w:rPr>
          <w:rFonts w:ascii="Calibri" w:hAnsi="Calibri"/>
          <w:sz w:val="22"/>
          <w:szCs w:val="22"/>
        </w:rPr>
        <w:t>host country/regional regulator</w:t>
      </w:r>
      <w:r>
        <w:rPr>
          <w:rFonts w:ascii="Calibri" w:hAnsi="Calibri"/>
          <w:sz w:val="22"/>
          <w:szCs w:val="22"/>
        </w:rPr>
        <w:t xml:space="preserve">, but </w:t>
      </w:r>
      <w:r w:rsidRPr="009416CF">
        <w:rPr>
          <w:rFonts w:ascii="Calibri" w:hAnsi="Calibri"/>
          <w:i/>
          <w:sz w:val="22"/>
          <w:szCs w:val="22"/>
        </w:rPr>
        <w:t>not</w:t>
      </w:r>
      <w:r>
        <w:rPr>
          <w:rFonts w:ascii="Calibri" w:hAnsi="Calibri"/>
          <w:sz w:val="22"/>
          <w:szCs w:val="22"/>
        </w:rPr>
        <w:t xml:space="preserve"> </w:t>
      </w:r>
      <w:r w:rsidRPr="00EC52A2">
        <w:rPr>
          <w:rFonts w:ascii="Calibri" w:hAnsi="Calibri"/>
          <w:sz w:val="22"/>
          <w:szCs w:val="22"/>
        </w:rPr>
        <w:t xml:space="preserve">monetized </w:t>
      </w:r>
      <w:r>
        <w:rPr>
          <w:rFonts w:ascii="Calibri" w:hAnsi="Calibri"/>
          <w:sz w:val="22"/>
          <w:szCs w:val="22"/>
        </w:rPr>
        <w:t xml:space="preserve">by the </w:t>
      </w:r>
      <w:r w:rsidRPr="00EC52A2">
        <w:rPr>
          <w:rFonts w:ascii="Calibri" w:hAnsi="Calibri"/>
          <w:sz w:val="22"/>
          <w:szCs w:val="22"/>
        </w:rPr>
        <w:t>host country/regional regulator</w:t>
      </w:r>
      <w:r>
        <w:rPr>
          <w:rFonts w:ascii="Calibri" w:hAnsi="Calibri"/>
          <w:sz w:val="22"/>
          <w:szCs w:val="22"/>
        </w:rPr>
        <w:t xml:space="preserve">, </w:t>
      </w:r>
      <w:r w:rsidRPr="00DB77F4">
        <w:rPr>
          <w:rFonts w:ascii="Calibri" w:hAnsi="Calibri"/>
          <w:color w:val="808080" w:themeColor="background1" w:themeShade="80"/>
          <w:sz w:val="22"/>
          <w:szCs w:val="22"/>
        </w:rPr>
        <w:t>OR</w:t>
      </w:r>
      <w:r w:rsidR="00E60D57">
        <w:rPr>
          <w:rFonts w:ascii="Calibri" w:hAnsi="Calibri"/>
          <w:color w:val="808080" w:themeColor="background1" w:themeShade="80"/>
          <w:sz w:val="22"/>
          <w:szCs w:val="22"/>
        </w:rPr>
        <w:t xml:space="preserve"> </w:t>
      </w:r>
    </w:p>
    <w:p w14:paraId="257A4598" w14:textId="1C74DDB1" w:rsidR="00C27F22" w:rsidRPr="00EC52A2" w:rsidRDefault="00C27F22" w:rsidP="001C1886">
      <w:pPr>
        <w:pStyle w:val="NormalWeb"/>
        <w:numPr>
          <w:ilvl w:val="0"/>
          <w:numId w:val="32"/>
        </w:numPr>
        <w:spacing w:before="0" w:beforeAutospacing="0" w:after="0" w:afterAutospacing="0"/>
        <w:rPr>
          <w:rFonts w:ascii="Calibri" w:hAnsi="Calibri"/>
          <w:sz w:val="22"/>
          <w:szCs w:val="22"/>
        </w:rPr>
      </w:pPr>
      <w:r w:rsidRPr="00EC52A2">
        <w:rPr>
          <w:rFonts w:ascii="Calibri" w:hAnsi="Calibri"/>
          <w:sz w:val="22"/>
          <w:szCs w:val="22"/>
        </w:rPr>
        <w:t>The host country</w:t>
      </w:r>
      <w:r w:rsidR="00D72D17" w:rsidRPr="00EC52A2">
        <w:rPr>
          <w:rFonts w:ascii="Calibri" w:hAnsi="Calibri"/>
          <w:sz w:val="22"/>
          <w:szCs w:val="22"/>
        </w:rPr>
        <w:t>/regional</w:t>
      </w:r>
      <w:r w:rsidRPr="00EC52A2">
        <w:rPr>
          <w:rFonts w:ascii="Calibri" w:hAnsi="Calibri"/>
          <w:sz w:val="22"/>
          <w:szCs w:val="22"/>
        </w:rPr>
        <w:t xml:space="preserve"> </w:t>
      </w:r>
      <w:r w:rsidR="001C1886">
        <w:rPr>
          <w:rFonts w:ascii="Calibri" w:hAnsi="Calibri"/>
          <w:sz w:val="22"/>
          <w:szCs w:val="22"/>
        </w:rPr>
        <w:t>regulator</w:t>
      </w:r>
      <w:r w:rsidR="001C1886" w:rsidRPr="00EC52A2">
        <w:rPr>
          <w:rFonts w:ascii="Calibri" w:hAnsi="Calibri"/>
          <w:sz w:val="22"/>
          <w:szCs w:val="22"/>
        </w:rPr>
        <w:t xml:space="preserve"> </w:t>
      </w:r>
      <w:r w:rsidR="00640734">
        <w:rPr>
          <w:rFonts w:ascii="Calibri" w:hAnsi="Calibri"/>
          <w:sz w:val="22"/>
          <w:szCs w:val="22"/>
        </w:rPr>
        <w:t xml:space="preserve">decides to </w:t>
      </w:r>
      <w:r w:rsidRPr="00EC52A2">
        <w:rPr>
          <w:rFonts w:ascii="Calibri" w:hAnsi="Calibri"/>
          <w:sz w:val="22"/>
          <w:szCs w:val="22"/>
        </w:rPr>
        <w:t>not account</w:t>
      </w:r>
      <w:r w:rsidR="00D72D17" w:rsidRPr="00EC52A2">
        <w:rPr>
          <w:rFonts w:ascii="Calibri" w:hAnsi="Calibri"/>
          <w:sz w:val="22"/>
          <w:szCs w:val="22"/>
        </w:rPr>
        <w:t xml:space="preserve"> for v</w:t>
      </w:r>
      <w:r w:rsidRPr="00EC52A2">
        <w:rPr>
          <w:rFonts w:ascii="Calibri" w:hAnsi="Calibri"/>
          <w:sz w:val="22"/>
          <w:szCs w:val="22"/>
        </w:rPr>
        <w:t>oluntary</w:t>
      </w:r>
      <w:r w:rsidR="00D72D17" w:rsidRPr="00EC52A2">
        <w:rPr>
          <w:rFonts w:ascii="Calibri" w:hAnsi="Calibri"/>
          <w:sz w:val="22"/>
          <w:szCs w:val="22"/>
        </w:rPr>
        <w:t xml:space="preserve"> GHG emissions reduction/removal</w:t>
      </w:r>
      <w:r w:rsidRPr="00EC52A2">
        <w:rPr>
          <w:rFonts w:ascii="Calibri" w:hAnsi="Calibri"/>
          <w:sz w:val="22"/>
          <w:szCs w:val="22"/>
        </w:rPr>
        <w:t xml:space="preserve"> contributions</w:t>
      </w:r>
      <w:r w:rsidR="00640734">
        <w:rPr>
          <w:rFonts w:ascii="Calibri" w:hAnsi="Calibri"/>
          <w:sz w:val="22"/>
          <w:szCs w:val="22"/>
        </w:rPr>
        <w:t xml:space="preserve"> (for </w:t>
      </w:r>
      <w:proofErr w:type="spellStart"/>
      <w:r w:rsidR="00640734">
        <w:rPr>
          <w:rFonts w:ascii="Calibri" w:hAnsi="Calibri"/>
          <w:sz w:val="22"/>
          <w:szCs w:val="22"/>
        </w:rPr>
        <w:t>e.g</w:t>
      </w:r>
      <w:proofErr w:type="spellEnd"/>
      <w:r w:rsidR="00640734">
        <w:rPr>
          <w:rFonts w:ascii="Calibri" w:hAnsi="Calibri"/>
          <w:sz w:val="22"/>
          <w:szCs w:val="22"/>
        </w:rPr>
        <w:t xml:space="preserve"> till a cap is reached)</w:t>
      </w:r>
      <w:r w:rsidR="005159D5">
        <w:rPr>
          <w:rFonts w:ascii="Calibri" w:hAnsi="Calibri"/>
          <w:sz w:val="22"/>
          <w:szCs w:val="22"/>
        </w:rPr>
        <w:t>,</w:t>
      </w:r>
      <w:r w:rsidRPr="00EC52A2">
        <w:rPr>
          <w:rFonts w:ascii="Calibri" w:hAnsi="Calibri"/>
          <w:sz w:val="22"/>
          <w:szCs w:val="22"/>
        </w:rPr>
        <w:t xml:space="preserve"> </w:t>
      </w:r>
      <w:r w:rsidR="00D72D17" w:rsidRPr="009416CF">
        <w:rPr>
          <w:rFonts w:ascii="Calibri" w:hAnsi="Calibri"/>
          <w:color w:val="808080" w:themeColor="background1" w:themeShade="80"/>
          <w:sz w:val="22"/>
          <w:szCs w:val="22"/>
        </w:rPr>
        <w:t>OR</w:t>
      </w:r>
      <w:r w:rsidR="00E60D57">
        <w:rPr>
          <w:rFonts w:ascii="Calibri" w:hAnsi="Calibri"/>
          <w:color w:val="808080" w:themeColor="background1" w:themeShade="80"/>
          <w:sz w:val="22"/>
          <w:szCs w:val="22"/>
        </w:rPr>
        <w:t xml:space="preserve"> </w:t>
      </w:r>
    </w:p>
    <w:commentRangeEnd w:id="2"/>
    <w:p w14:paraId="6DE12189" w14:textId="2B51C8BD" w:rsidR="00C27F22" w:rsidRPr="00EC52A2" w:rsidRDefault="00242815" w:rsidP="001C1886">
      <w:pPr>
        <w:pStyle w:val="NormalWeb"/>
        <w:numPr>
          <w:ilvl w:val="0"/>
          <w:numId w:val="32"/>
        </w:numPr>
        <w:spacing w:before="0" w:beforeAutospacing="0" w:after="0" w:afterAutospacing="0"/>
        <w:rPr>
          <w:rFonts w:ascii="Calibri" w:hAnsi="Calibri"/>
          <w:sz w:val="22"/>
          <w:szCs w:val="22"/>
        </w:rPr>
      </w:pPr>
      <w:r>
        <w:rPr>
          <w:rStyle w:val="CommentReference"/>
          <w:rFonts w:ascii="Cambria" w:hAnsi="Cambria" w:cs="Cambria"/>
          <w:color w:val="000000"/>
        </w:rPr>
        <w:commentReference w:id="2"/>
      </w:r>
      <w:r w:rsidR="00C27F22" w:rsidRPr="00EC52A2">
        <w:rPr>
          <w:rFonts w:ascii="Calibri" w:hAnsi="Calibri"/>
          <w:sz w:val="22"/>
          <w:szCs w:val="22"/>
        </w:rPr>
        <w:t>The host country</w:t>
      </w:r>
      <w:r w:rsidR="00D72D17" w:rsidRPr="00EC52A2">
        <w:rPr>
          <w:rFonts w:ascii="Calibri" w:hAnsi="Calibri"/>
          <w:sz w:val="22"/>
          <w:szCs w:val="22"/>
        </w:rPr>
        <w:t>/regional</w:t>
      </w:r>
      <w:r w:rsidR="008B490D" w:rsidRPr="00EC52A2">
        <w:rPr>
          <w:rFonts w:ascii="Calibri" w:hAnsi="Calibri"/>
          <w:sz w:val="22"/>
          <w:szCs w:val="22"/>
        </w:rPr>
        <w:t xml:space="preserve"> regulator</w:t>
      </w:r>
      <w:r w:rsidR="00C27F22" w:rsidRPr="00EC52A2">
        <w:rPr>
          <w:rFonts w:ascii="Calibri" w:hAnsi="Calibri"/>
          <w:sz w:val="22"/>
          <w:szCs w:val="22"/>
        </w:rPr>
        <w:t xml:space="preserve"> commits to cancelling </w:t>
      </w:r>
      <w:r w:rsidR="004371FE" w:rsidRPr="00EC52A2">
        <w:rPr>
          <w:rFonts w:ascii="Calibri" w:hAnsi="Calibri"/>
          <w:sz w:val="22"/>
          <w:szCs w:val="22"/>
        </w:rPr>
        <w:t xml:space="preserve">or assigning </w:t>
      </w:r>
      <w:r w:rsidR="00C27F22" w:rsidRPr="00EC52A2">
        <w:rPr>
          <w:rFonts w:ascii="Calibri" w:hAnsi="Calibri"/>
          <w:sz w:val="22"/>
          <w:szCs w:val="22"/>
        </w:rPr>
        <w:t xml:space="preserve">an equivalent number of AAUs from its account in lieu of the voluntary </w:t>
      </w:r>
      <w:r w:rsidR="001C1886">
        <w:rPr>
          <w:rFonts w:ascii="Calibri" w:hAnsi="Calibri"/>
          <w:sz w:val="22"/>
          <w:szCs w:val="22"/>
        </w:rPr>
        <w:t xml:space="preserve">GHG </w:t>
      </w:r>
      <w:r w:rsidR="00C27F22" w:rsidRPr="00EC52A2">
        <w:rPr>
          <w:rFonts w:ascii="Calibri" w:hAnsi="Calibri"/>
          <w:sz w:val="22"/>
          <w:szCs w:val="22"/>
        </w:rPr>
        <w:t>emissions</w:t>
      </w:r>
      <w:r w:rsidR="00D72D17" w:rsidRPr="00EC52A2">
        <w:rPr>
          <w:rFonts w:ascii="Calibri" w:hAnsi="Calibri"/>
          <w:sz w:val="22"/>
          <w:szCs w:val="22"/>
        </w:rPr>
        <w:t xml:space="preserve"> reductions/removals</w:t>
      </w:r>
      <w:r w:rsidR="005159D5">
        <w:rPr>
          <w:rFonts w:ascii="Calibri" w:hAnsi="Calibri"/>
          <w:sz w:val="22"/>
          <w:szCs w:val="22"/>
        </w:rPr>
        <w:t>,</w:t>
      </w:r>
      <w:r w:rsidR="00D72D17" w:rsidRPr="00EC52A2">
        <w:rPr>
          <w:rFonts w:ascii="Calibri" w:hAnsi="Calibri"/>
          <w:sz w:val="22"/>
          <w:szCs w:val="22"/>
        </w:rPr>
        <w:t xml:space="preserve"> </w:t>
      </w:r>
      <w:r w:rsidR="00D72D17" w:rsidRPr="009416CF">
        <w:rPr>
          <w:rFonts w:ascii="Calibri" w:hAnsi="Calibri"/>
          <w:color w:val="808080" w:themeColor="background1" w:themeShade="80"/>
          <w:sz w:val="22"/>
          <w:szCs w:val="22"/>
        </w:rPr>
        <w:t>OR</w:t>
      </w:r>
    </w:p>
    <w:p w14:paraId="414E45EC" w14:textId="61E5122A" w:rsidR="00C27F22" w:rsidRDefault="008B490D">
      <w:pPr>
        <w:pStyle w:val="NormalWeb"/>
        <w:numPr>
          <w:ilvl w:val="0"/>
          <w:numId w:val="32"/>
        </w:numPr>
        <w:spacing w:before="0" w:beforeAutospacing="0" w:after="0" w:afterAutospacing="0"/>
        <w:rPr>
          <w:rFonts w:ascii="Calibri" w:hAnsi="Calibri"/>
          <w:sz w:val="22"/>
          <w:szCs w:val="22"/>
        </w:rPr>
      </w:pPr>
      <w:r w:rsidRPr="00EC52A2">
        <w:rPr>
          <w:rFonts w:ascii="Calibri" w:hAnsi="Calibri"/>
          <w:sz w:val="22"/>
          <w:szCs w:val="22"/>
        </w:rPr>
        <w:t>The host country regulator</w:t>
      </w:r>
      <w:r w:rsidR="00C27F22" w:rsidRPr="00EC52A2">
        <w:rPr>
          <w:rFonts w:ascii="Calibri" w:hAnsi="Calibri"/>
          <w:sz w:val="22"/>
          <w:szCs w:val="22"/>
        </w:rPr>
        <w:t xml:space="preserve"> commits to extract the project</w:t>
      </w:r>
      <w:r w:rsidR="00640734">
        <w:rPr>
          <w:rFonts w:ascii="Calibri" w:hAnsi="Calibri"/>
          <w:sz w:val="22"/>
          <w:szCs w:val="22"/>
        </w:rPr>
        <w:t>’</w:t>
      </w:r>
      <w:r w:rsidR="001C1886">
        <w:rPr>
          <w:rFonts w:ascii="Calibri" w:hAnsi="Calibri"/>
          <w:sz w:val="22"/>
          <w:szCs w:val="22"/>
        </w:rPr>
        <w:t>s</w:t>
      </w:r>
      <w:r w:rsidR="00C27F22" w:rsidRPr="00EC52A2">
        <w:rPr>
          <w:rFonts w:ascii="Calibri" w:hAnsi="Calibri"/>
          <w:sz w:val="22"/>
          <w:szCs w:val="22"/>
        </w:rPr>
        <w:t xml:space="preserve"> </w:t>
      </w:r>
      <w:r w:rsidR="001C1886">
        <w:rPr>
          <w:rFonts w:ascii="Calibri" w:hAnsi="Calibri"/>
          <w:sz w:val="22"/>
          <w:szCs w:val="22"/>
        </w:rPr>
        <w:t xml:space="preserve">GHG </w:t>
      </w:r>
      <w:r w:rsidR="001C1886" w:rsidRPr="00EC52A2">
        <w:rPr>
          <w:rFonts w:ascii="Calibri" w:hAnsi="Calibri"/>
          <w:sz w:val="22"/>
          <w:szCs w:val="22"/>
        </w:rPr>
        <w:t xml:space="preserve">emissions reductions/removals </w:t>
      </w:r>
      <w:r w:rsidR="00C27F22" w:rsidRPr="00EC52A2">
        <w:rPr>
          <w:rFonts w:ascii="Calibri" w:hAnsi="Calibri"/>
          <w:sz w:val="22"/>
          <w:szCs w:val="22"/>
        </w:rPr>
        <w:t>from its accounting.</w:t>
      </w:r>
    </w:p>
    <w:p w14:paraId="3283ACC2" w14:textId="028EDABD" w:rsidR="005C49C5" w:rsidRPr="005C49C5" w:rsidRDefault="005C49C5" w:rsidP="005C49C5">
      <w:pPr>
        <w:pStyle w:val="ListParagraph"/>
        <w:widowControl/>
        <w:numPr>
          <w:ilvl w:val="0"/>
          <w:numId w:val="32"/>
        </w:numPr>
        <w:spacing w:after="0"/>
        <w:rPr>
          <w:rFonts w:ascii="Calibri" w:hAnsi="Calibri" w:cs="Times New Roman"/>
          <w:color w:val="auto"/>
          <w:sz w:val="22"/>
          <w:szCs w:val="22"/>
        </w:rPr>
      </w:pPr>
      <w:commentRangeStart w:id="3"/>
      <w:r w:rsidRPr="005C49C5">
        <w:rPr>
          <w:rFonts w:ascii="Calibri" w:hAnsi="Calibri" w:cs="Times New Roman"/>
          <w:color w:val="auto"/>
          <w:sz w:val="22"/>
          <w:szCs w:val="22"/>
        </w:rPr>
        <w:t>The GHG emission reduction from voluntary activities do not exceed 5 per cent of the host country’s domestic GHG emissions as is communicated in the most recent National Inventory Report</w:t>
      </w:r>
      <w:r w:rsidRPr="005C49C5">
        <w:rPr>
          <w:rFonts w:cs="Times New Roman"/>
          <w:color w:val="auto"/>
          <w:sz w:val="22"/>
          <w:szCs w:val="22"/>
        </w:rPr>
        <w:footnoteReference w:id="2"/>
      </w:r>
      <w:r w:rsidRPr="005C49C5">
        <w:rPr>
          <w:rFonts w:ascii="Calibri" w:hAnsi="Calibri" w:cs="Times New Roman"/>
          <w:color w:val="auto"/>
          <w:sz w:val="22"/>
          <w:szCs w:val="22"/>
        </w:rPr>
        <w:t xml:space="preserve"> from Annex I Parties or National Communications from non-Annex I Parties</w:t>
      </w:r>
      <w:r w:rsidRPr="005C49C5">
        <w:rPr>
          <w:rFonts w:cs="Times New Roman"/>
          <w:color w:val="auto"/>
          <w:sz w:val="22"/>
          <w:szCs w:val="22"/>
        </w:rPr>
        <w:footnoteReference w:id="3"/>
      </w:r>
      <w:r w:rsidRPr="005C49C5">
        <w:rPr>
          <w:rFonts w:ascii="Calibri" w:hAnsi="Calibri" w:cs="Times New Roman"/>
          <w:color w:val="auto"/>
          <w:sz w:val="22"/>
          <w:szCs w:val="22"/>
        </w:rPr>
        <w:t>.</w:t>
      </w:r>
      <w:commentRangeEnd w:id="3"/>
      <w:r w:rsidRPr="005C49C5">
        <w:rPr>
          <w:rFonts w:ascii="Calibri" w:hAnsi="Calibri" w:cs="Times New Roman"/>
          <w:color w:val="auto"/>
          <w:sz w:val="22"/>
          <w:szCs w:val="22"/>
        </w:rPr>
        <w:commentReference w:id="3"/>
      </w:r>
    </w:p>
    <w:p w14:paraId="00875B48" w14:textId="77777777" w:rsidR="005C49C5" w:rsidRDefault="005C49C5" w:rsidP="005C49C5">
      <w:pPr>
        <w:spacing w:after="0"/>
        <w:rPr>
          <w:rFonts w:ascii="Calibri" w:hAnsi="Calibri"/>
        </w:rPr>
      </w:pPr>
    </w:p>
    <w:p w14:paraId="2A2E846D" w14:textId="2CB18D3A" w:rsidR="004371FE" w:rsidRPr="009416CF" w:rsidRDefault="00EC42A4" w:rsidP="006E5C5F">
      <w:pPr>
        <w:pStyle w:val="NormalWeb"/>
        <w:spacing w:before="0" w:beforeAutospacing="0" w:after="0" w:afterAutospacing="0"/>
        <w:rPr>
          <w:rFonts w:ascii="Calibri" w:hAnsi="Calibri"/>
          <w:b/>
          <w:sz w:val="22"/>
          <w:szCs w:val="22"/>
        </w:rPr>
      </w:pPr>
      <w:r w:rsidRPr="00EC52A2">
        <w:rPr>
          <w:rFonts w:ascii="Calibri" w:hAnsi="Calibri"/>
          <w:sz w:val="22"/>
          <w:szCs w:val="22"/>
          <w:u w:val="single"/>
        </w:rPr>
        <w:br/>
      </w:r>
      <w:r w:rsidR="0051224F">
        <w:rPr>
          <w:rFonts w:ascii="Calibri" w:hAnsi="Calibri"/>
          <w:b/>
          <w:sz w:val="22"/>
          <w:szCs w:val="22"/>
        </w:rPr>
        <w:t>Scenario</w:t>
      </w:r>
      <w:r w:rsidR="0051224F" w:rsidRPr="009416CF">
        <w:rPr>
          <w:rFonts w:ascii="Calibri" w:hAnsi="Calibri"/>
          <w:b/>
          <w:sz w:val="22"/>
          <w:szCs w:val="22"/>
        </w:rPr>
        <w:t xml:space="preserve"> </w:t>
      </w:r>
      <w:r w:rsidR="00C27F22" w:rsidRPr="009416CF">
        <w:rPr>
          <w:rFonts w:ascii="Calibri" w:hAnsi="Calibri"/>
          <w:b/>
          <w:sz w:val="22"/>
          <w:szCs w:val="22"/>
        </w:rPr>
        <w:t xml:space="preserve">2 </w:t>
      </w:r>
    </w:p>
    <w:p w14:paraId="1C34E943" w14:textId="0A247AD7" w:rsidR="00902D8F" w:rsidRPr="00DB77F4" w:rsidRDefault="0051224F" w:rsidP="00902D8F">
      <w:pPr>
        <w:pStyle w:val="NormalWeb"/>
        <w:spacing w:before="0" w:beforeAutospacing="0" w:after="0" w:afterAutospacing="0"/>
        <w:rPr>
          <w:rFonts w:ascii="Calibri" w:hAnsi="Calibri"/>
          <w:sz w:val="22"/>
          <w:szCs w:val="22"/>
        </w:rPr>
      </w:pPr>
      <w:r>
        <w:rPr>
          <w:rFonts w:ascii="Calibri" w:hAnsi="Calibri"/>
          <w:sz w:val="22"/>
          <w:szCs w:val="22"/>
        </w:rPr>
        <w:t>If none of the above options under scenario 1 can be demonstrated then t</w:t>
      </w:r>
      <w:r w:rsidR="00902D8F">
        <w:rPr>
          <w:rFonts w:ascii="Calibri" w:hAnsi="Calibri"/>
          <w:sz w:val="22"/>
          <w:szCs w:val="22"/>
        </w:rPr>
        <w:t xml:space="preserve">he project owner shall demonstrate </w:t>
      </w:r>
      <w:r w:rsidR="00902D8F" w:rsidRPr="00DB77F4">
        <w:rPr>
          <w:rFonts w:ascii="Calibri" w:hAnsi="Calibri"/>
          <w:sz w:val="22"/>
          <w:szCs w:val="22"/>
        </w:rPr>
        <w:t>that:</w:t>
      </w:r>
    </w:p>
    <w:p w14:paraId="1835F33A" w14:textId="6A0EE6CF" w:rsidR="004371FE" w:rsidRDefault="006B3E60" w:rsidP="006E5C5F">
      <w:pPr>
        <w:pStyle w:val="NormalWeb"/>
        <w:spacing w:before="0" w:beforeAutospacing="0" w:after="0" w:afterAutospacing="0"/>
        <w:rPr>
          <w:rFonts w:ascii="Calibri" w:hAnsi="Calibri"/>
          <w:sz w:val="22"/>
          <w:szCs w:val="22"/>
        </w:rPr>
      </w:pPr>
      <w:r>
        <w:rPr>
          <w:rFonts w:ascii="Calibri" w:hAnsi="Calibri"/>
          <w:sz w:val="22"/>
          <w:szCs w:val="22"/>
        </w:rPr>
        <w:t>(a</w:t>
      </w:r>
      <w:proofErr w:type="gramStart"/>
      <w:r>
        <w:rPr>
          <w:rFonts w:ascii="Calibri" w:hAnsi="Calibri"/>
          <w:sz w:val="22"/>
          <w:szCs w:val="22"/>
        </w:rPr>
        <w:t xml:space="preserve">)   </w:t>
      </w:r>
      <w:r w:rsidR="004371FE" w:rsidRPr="00EC52A2">
        <w:rPr>
          <w:rFonts w:ascii="Calibri" w:hAnsi="Calibri"/>
          <w:sz w:val="22"/>
          <w:szCs w:val="22"/>
        </w:rPr>
        <w:t>AAUs</w:t>
      </w:r>
      <w:proofErr w:type="gramEnd"/>
      <w:r w:rsidR="004371FE" w:rsidRPr="00EC52A2">
        <w:rPr>
          <w:rFonts w:ascii="Calibri" w:hAnsi="Calibri"/>
          <w:sz w:val="22"/>
          <w:szCs w:val="22"/>
        </w:rPr>
        <w:t>/appropriate mechanism based unit</w:t>
      </w:r>
      <w:r>
        <w:rPr>
          <w:rFonts w:ascii="Calibri" w:hAnsi="Calibri"/>
          <w:sz w:val="22"/>
          <w:szCs w:val="22"/>
        </w:rPr>
        <w:t>s</w:t>
      </w:r>
      <w:r w:rsidR="004371FE" w:rsidRPr="00EC52A2">
        <w:rPr>
          <w:rFonts w:ascii="Calibri" w:hAnsi="Calibri"/>
          <w:sz w:val="22"/>
          <w:szCs w:val="22"/>
        </w:rPr>
        <w:t xml:space="preserve"> </w:t>
      </w:r>
      <w:r>
        <w:rPr>
          <w:rFonts w:ascii="Calibri" w:hAnsi="Calibri"/>
          <w:sz w:val="22"/>
          <w:szCs w:val="22"/>
        </w:rPr>
        <w:t xml:space="preserve">are cancelled </w:t>
      </w:r>
      <w:r w:rsidR="004371FE" w:rsidRPr="00EC52A2">
        <w:rPr>
          <w:rFonts w:ascii="Calibri" w:hAnsi="Calibri"/>
          <w:sz w:val="22"/>
          <w:szCs w:val="22"/>
        </w:rPr>
        <w:t xml:space="preserve">by or on behalf of </w:t>
      </w:r>
      <w:r>
        <w:rPr>
          <w:rFonts w:ascii="Calibri" w:hAnsi="Calibri"/>
          <w:sz w:val="22"/>
          <w:szCs w:val="22"/>
        </w:rPr>
        <w:t>the p</w:t>
      </w:r>
      <w:r w:rsidRPr="00EC52A2">
        <w:rPr>
          <w:rFonts w:ascii="Calibri" w:hAnsi="Calibri"/>
          <w:sz w:val="22"/>
          <w:szCs w:val="22"/>
        </w:rPr>
        <w:t>roject</w:t>
      </w:r>
      <w:r>
        <w:rPr>
          <w:rFonts w:ascii="Calibri" w:hAnsi="Calibri"/>
          <w:sz w:val="22"/>
          <w:szCs w:val="22"/>
        </w:rPr>
        <w:t xml:space="preserve">, </w:t>
      </w:r>
      <w:r w:rsidR="004371FE" w:rsidRPr="0051224F">
        <w:rPr>
          <w:rFonts w:ascii="Calibri" w:hAnsi="Calibri"/>
          <w:color w:val="808080" w:themeColor="background1" w:themeShade="80"/>
          <w:sz w:val="22"/>
          <w:szCs w:val="22"/>
        </w:rPr>
        <w:t>OR</w:t>
      </w:r>
    </w:p>
    <w:p w14:paraId="179470EF" w14:textId="293A2DE1" w:rsidR="006B3E60" w:rsidRDefault="006B3E60" w:rsidP="009416CF">
      <w:pPr>
        <w:pStyle w:val="NormalWeb"/>
        <w:spacing w:before="0" w:beforeAutospacing="0" w:after="0" w:afterAutospacing="0"/>
        <w:ind w:left="378" w:hanging="378"/>
        <w:rPr>
          <w:rFonts w:ascii="Calibri" w:hAnsi="Calibri"/>
          <w:sz w:val="22"/>
          <w:szCs w:val="22"/>
        </w:rPr>
      </w:pPr>
      <w:r>
        <w:rPr>
          <w:rFonts w:ascii="Calibri" w:hAnsi="Calibri"/>
          <w:sz w:val="22"/>
          <w:szCs w:val="22"/>
        </w:rPr>
        <w:t>(b</w:t>
      </w:r>
      <w:proofErr w:type="gramStart"/>
      <w:r>
        <w:rPr>
          <w:rFonts w:ascii="Calibri" w:hAnsi="Calibri"/>
          <w:sz w:val="22"/>
          <w:szCs w:val="22"/>
        </w:rPr>
        <w:t xml:space="preserve">) </w:t>
      </w:r>
      <w:r w:rsidR="004371FE" w:rsidRPr="00EC52A2">
        <w:rPr>
          <w:rFonts w:ascii="Calibri" w:hAnsi="Calibri"/>
          <w:sz w:val="22"/>
          <w:szCs w:val="22"/>
        </w:rPr>
        <w:t xml:space="preserve"> </w:t>
      </w:r>
      <w:r>
        <w:rPr>
          <w:rFonts w:ascii="Calibri" w:hAnsi="Calibri"/>
          <w:sz w:val="22"/>
          <w:szCs w:val="22"/>
        </w:rPr>
        <w:t>O</w:t>
      </w:r>
      <w:r w:rsidRPr="00EC52A2">
        <w:rPr>
          <w:rFonts w:ascii="Calibri" w:hAnsi="Calibri"/>
          <w:sz w:val="22"/>
          <w:szCs w:val="22"/>
        </w:rPr>
        <w:t>ther</w:t>
      </w:r>
      <w:proofErr w:type="gramEnd"/>
      <w:r w:rsidRPr="00EC52A2">
        <w:rPr>
          <w:rFonts w:ascii="Calibri" w:hAnsi="Calibri"/>
          <w:sz w:val="22"/>
          <w:szCs w:val="22"/>
        </w:rPr>
        <w:t xml:space="preserve"> </w:t>
      </w:r>
      <w:r w:rsidR="008B490D" w:rsidRPr="009416CF">
        <w:rPr>
          <w:rFonts w:ascii="Calibri" w:hAnsi="Calibri"/>
          <w:i/>
          <w:sz w:val="22"/>
          <w:szCs w:val="22"/>
        </w:rPr>
        <w:t>Eligible Cancellation Unite</w:t>
      </w:r>
      <w:r w:rsidR="004371FE" w:rsidRPr="00EC52A2">
        <w:rPr>
          <w:rFonts w:ascii="Calibri" w:hAnsi="Calibri"/>
          <w:sz w:val="22"/>
          <w:szCs w:val="22"/>
        </w:rPr>
        <w:t xml:space="preserve"> (</w:t>
      </w:r>
      <w:r>
        <w:rPr>
          <w:rFonts w:ascii="Calibri" w:hAnsi="Calibri"/>
          <w:sz w:val="22"/>
          <w:szCs w:val="22"/>
        </w:rPr>
        <w:t>see list below</w:t>
      </w:r>
      <w:r w:rsidR="004371FE" w:rsidRPr="00EC52A2">
        <w:rPr>
          <w:rFonts w:ascii="Calibri" w:hAnsi="Calibri"/>
          <w:sz w:val="22"/>
          <w:szCs w:val="22"/>
        </w:rPr>
        <w:t xml:space="preserve">) </w:t>
      </w:r>
      <w:r>
        <w:rPr>
          <w:rFonts w:ascii="Calibri" w:hAnsi="Calibri"/>
          <w:sz w:val="22"/>
          <w:szCs w:val="22"/>
        </w:rPr>
        <w:t xml:space="preserve">are cancelled </w:t>
      </w:r>
      <w:r w:rsidRPr="00EC52A2">
        <w:rPr>
          <w:rFonts w:ascii="Calibri" w:hAnsi="Calibri"/>
          <w:sz w:val="22"/>
          <w:szCs w:val="22"/>
        </w:rPr>
        <w:t xml:space="preserve">by or on behalf of </w:t>
      </w:r>
      <w:r>
        <w:rPr>
          <w:rFonts w:ascii="Calibri" w:hAnsi="Calibri"/>
          <w:sz w:val="22"/>
          <w:szCs w:val="22"/>
        </w:rPr>
        <w:t>the p</w:t>
      </w:r>
      <w:r w:rsidRPr="00EC52A2">
        <w:rPr>
          <w:rFonts w:ascii="Calibri" w:hAnsi="Calibri"/>
          <w:sz w:val="22"/>
          <w:szCs w:val="22"/>
        </w:rPr>
        <w:t>roject</w:t>
      </w:r>
      <w:r w:rsidR="00732C7C" w:rsidRPr="00EC52A2">
        <w:rPr>
          <w:rFonts w:ascii="Calibri" w:hAnsi="Calibri"/>
          <w:sz w:val="22"/>
          <w:szCs w:val="22"/>
        </w:rPr>
        <w:t xml:space="preserve">.  </w:t>
      </w:r>
    </w:p>
    <w:p w14:paraId="1DF92844" w14:textId="77777777" w:rsidR="000D2588" w:rsidRDefault="000D2588" w:rsidP="006E5C5F">
      <w:pPr>
        <w:pStyle w:val="NormalWeb"/>
        <w:spacing w:before="0" w:beforeAutospacing="0" w:after="0" w:afterAutospacing="0"/>
        <w:rPr>
          <w:rFonts w:ascii="Calibri" w:hAnsi="Calibri"/>
          <w:sz w:val="22"/>
          <w:szCs w:val="22"/>
        </w:rPr>
      </w:pPr>
    </w:p>
    <w:p w14:paraId="72422AC8" w14:textId="0DAC64BB" w:rsidR="000D2588" w:rsidRPr="00EC52A2" w:rsidRDefault="000D2588" w:rsidP="000D2588">
      <w:pPr>
        <w:pStyle w:val="Normal1"/>
        <w:spacing w:after="0"/>
        <w:contextualSpacing w:val="0"/>
        <w:rPr>
          <w:rFonts w:ascii="Calibri" w:eastAsia="Calibri" w:hAnsi="Calibri" w:cs="Calibri"/>
          <w:sz w:val="22"/>
          <w:szCs w:val="22"/>
        </w:rPr>
      </w:pPr>
      <w:r w:rsidRPr="009416CF">
        <w:rPr>
          <w:rFonts w:ascii="Calibri" w:eastAsia="Calibri" w:hAnsi="Calibri" w:cs="Calibri"/>
          <w:i/>
          <w:sz w:val="22"/>
          <w:szCs w:val="22"/>
        </w:rPr>
        <w:t>Eligible Cancellation Units</w:t>
      </w:r>
      <w:r w:rsidRPr="00EC52A2">
        <w:rPr>
          <w:rFonts w:ascii="Calibri" w:eastAsia="Calibri" w:hAnsi="Calibri" w:cs="Calibri"/>
          <w:sz w:val="22"/>
          <w:szCs w:val="22"/>
        </w:rPr>
        <w:t xml:space="preserve"> include:</w:t>
      </w:r>
    </w:p>
    <w:p w14:paraId="6F7020C8" w14:textId="5CE9DC3A" w:rsidR="000D2588" w:rsidRPr="00EC52A2" w:rsidRDefault="000D2588" w:rsidP="00F93FAC">
      <w:pPr>
        <w:pStyle w:val="ListParagraph"/>
        <w:numPr>
          <w:ilvl w:val="0"/>
          <w:numId w:val="40"/>
        </w:numPr>
        <w:spacing w:after="0"/>
        <w:rPr>
          <w:rFonts w:ascii="Calibri" w:eastAsia="Calibri" w:hAnsi="Calibri" w:cs="Calibri"/>
          <w:sz w:val="22"/>
          <w:szCs w:val="22"/>
        </w:rPr>
      </w:pPr>
      <w:r w:rsidRPr="00EC52A2">
        <w:rPr>
          <w:rFonts w:ascii="Calibri" w:eastAsia="Calibri" w:hAnsi="Calibri" w:cs="Calibri"/>
          <w:sz w:val="22"/>
          <w:szCs w:val="22"/>
        </w:rPr>
        <w:t>AAUs</w:t>
      </w:r>
      <w:r w:rsidR="00242815">
        <w:rPr>
          <w:rFonts w:ascii="Calibri" w:eastAsia="Calibri" w:hAnsi="Calibri" w:cs="Calibri"/>
          <w:sz w:val="22"/>
          <w:szCs w:val="22"/>
        </w:rPr>
        <w:t xml:space="preserve"> (any kind of AAUs/vintage/origination)</w:t>
      </w:r>
    </w:p>
    <w:p w14:paraId="2B18FE48" w14:textId="23877CAD" w:rsidR="00F93FAC" w:rsidRPr="00EC52A2" w:rsidRDefault="000D2588" w:rsidP="00F93FAC">
      <w:pPr>
        <w:pStyle w:val="ListParagraph"/>
        <w:numPr>
          <w:ilvl w:val="0"/>
          <w:numId w:val="40"/>
        </w:numPr>
        <w:spacing w:after="0"/>
        <w:rPr>
          <w:rFonts w:ascii="Calibri" w:eastAsia="Calibri" w:hAnsi="Calibri" w:cs="Calibri"/>
          <w:sz w:val="22"/>
          <w:szCs w:val="22"/>
        </w:rPr>
      </w:pPr>
      <w:r w:rsidRPr="00EC52A2">
        <w:rPr>
          <w:rFonts w:ascii="Calibri" w:eastAsia="Calibri" w:hAnsi="Calibri" w:cs="Calibri"/>
          <w:sz w:val="22"/>
          <w:szCs w:val="22"/>
        </w:rPr>
        <w:t xml:space="preserve">Units eligible within the </w:t>
      </w:r>
      <w:r w:rsidR="006B3E60">
        <w:rPr>
          <w:rFonts w:ascii="Calibri" w:eastAsia="Calibri" w:hAnsi="Calibri" w:cs="Calibri"/>
          <w:sz w:val="22"/>
          <w:szCs w:val="22"/>
        </w:rPr>
        <w:t>respective GHG E</w:t>
      </w:r>
      <w:r w:rsidR="006B3E60" w:rsidRPr="00EC52A2">
        <w:rPr>
          <w:rFonts w:ascii="Calibri" w:eastAsia="Calibri" w:hAnsi="Calibri" w:cs="Calibri"/>
          <w:sz w:val="22"/>
          <w:szCs w:val="22"/>
        </w:rPr>
        <w:t xml:space="preserve">missions </w:t>
      </w:r>
      <w:r w:rsidR="006B3E60">
        <w:rPr>
          <w:rFonts w:ascii="Calibri" w:eastAsia="Calibri" w:hAnsi="Calibri" w:cs="Calibri"/>
          <w:sz w:val="22"/>
          <w:szCs w:val="22"/>
        </w:rPr>
        <w:t>T</w:t>
      </w:r>
      <w:r w:rsidR="006B3E60" w:rsidRPr="00EC52A2">
        <w:rPr>
          <w:rFonts w:ascii="Calibri" w:eastAsia="Calibri" w:hAnsi="Calibri" w:cs="Calibri"/>
          <w:sz w:val="22"/>
          <w:szCs w:val="22"/>
        </w:rPr>
        <w:t xml:space="preserve">rading </w:t>
      </w:r>
      <w:r w:rsidR="006B3E60">
        <w:rPr>
          <w:rFonts w:ascii="Calibri" w:eastAsia="Calibri" w:hAnsi="Calibri" w:cs="Calibri"/>
          <w:sz w:val="22"/>
          <w:szCs w:val="22"/>
        </w:rPr>
        <w:t>S</w:t>
      </w:r>
      <w:r w:rsidR="006B3E60" w:rsidRPr="00EC52A2">
        <w:rPr>
          <w:rFonts w:ascii="Calibri" w:eastAsia="Calibri" w:hAnsi="Calibri" w:cs="Calibri"/>
          <w:sz w:val="22"/>
          <w:szCs w:val="22"/>
        </w:rPr>
        <w:t>cheme</w:t>
      </w:r>
    </w:p>
    <w:p w14:paraId="78DFED24" w14:textId="77777777" w:rsidR="00F93FAC" w:rsidRDefault="000D2588" w:rsidP="00F93FAC">
      <w:pPr>
        <w:pStyle w:val="ListParagraph"/>
        <w:numPr>
          <w:ilvl w:val="0"/>
          <w:numId w:val="40"/>
        </w:numPr>
        <w:spacing w:after="0"/>
        <w:rPr>
          <w:rFonts w:ascii="Calibri" w:eastAsia="Calibri" w:hAnsi="Calibri" w:cs="Calibri"/>
          <w:sz w:val="22"/>
          <w:szCs w:val="22"/>
        </w:rPr>
      </w:pPr>
      <w:commentRangeStart w:id="4"/>
      <w:r w:rsidRPr="00F93FAC">
        <w:rPr>
          <w:rFonts w:ascii="Calibri" w:eastAsia="Calibri" w:hAnsi="Calibri" w:cs="Calibri"/>
          <w:sz w:val="22"/>
          <w:szCs w:val="22"/>
        </w:rPr>
        <w:t xml:space="preserve">CERs </w:t>
      </w:r>
      <w:r w:rsidR="00F93FAC">
        <w:rPr>
          <w:rFonts w:ascii="Calibri" w:eastAsia="Calibri" w:hAnsi="Calibri" w:cs="Calibri"/>
          <w:sz w:val="22"/>
          <w:szCs w:val="22"/>
        </w:rPr>
        <w:t>with further eligibility as follows:</w:t>
      </w:r>
      <w:commentRangeEnd w:id="4"/>
      <w:r w:rsidR="005C49C5">
        <w:rPr>
          <w:rStyle w:val="CommentReference"/>
        </w:rPr>
        <w:commentReference w:id="4"/>
      </w:r>
    </w:p>
    <w:p w14:paraId="596C7C86" w14:textId="1FC6CB7F" w:rsidR="00F93FAC" w:rsidRDefault="00F93FAC" w:rsidP="00F93FAC">
      <w:pPr>
        <w:pStyle w:val="ListParagraph"/>
        <w:numPr>
          <w:ilvl w:val="1"/>
          <w:numId w:val="40"/>
        </w:numPr>
        <w:rPr>
          <w:rFonts w:ascii="Calibri" w:eastAsia="Calibri" w:hAnsi="Calibri" w:cs="Calibri"/>
          <w:sz w:val="22"/>
          <w:szCs w:val="22"/>
        </w:rPr>
      </w:pPr>
      <w:r>
        <w:rPr>
          <w:rFonts w:ascii="Calibri" w:eastAsia="Calibri" w:hAnsi="Calibri" w:cs="Calibri"/>
          <w:sz w:val="22"/>
          <w:szCs w:val="22"/>
        </w:rPr>
        <w:t xml:space="preserve">Must be from </w:t>
      </w:r>
      <w:r w:rsidR="006B3E60" w:rsidRPr="00F93FAC">
        <w:rPr>
          <w:rFonts w:ascii="Calibri" w:eastAsia="Calibri" w:hAnsi="Calibri" w:cs="Calibri"/>
          <w:sz w:val="22"/>
          <w:szCs w:val="22"/>
        </w:rPr>
        <w:t>scopes</w:t>
      </w:r>
      <w:r w:rsidR="000D2588" w:rsidRPr="00F93FAC">
        <w:rPr>
          <w:rFonts w:ascii="Calibri" w:eastAsia="Calibri" w:hAnsi="Calibri" w:cs="Calibri"/>
          <w:sz w:val="22"/>
          <w:szCs w:val="22"/>
        </w:rPr>
        <w:t>/</w:t>
      </w:r>
      <w:r w:rsidR="006B3E60" w:rsidRPr="00F93FAC">
        <w:rPr>
          <w:rFonts w:ascii="Calibri" w:eastAsia="Calibri" w:hAnsi="Calibri" w:cs="Calibri"/>
          <w:sz w:val="22"/>
          <w:szCs w:val="22"/>
        </w:rPr>
        <w:t xml:space="preserve">sectors </w:t>
      </w:r>
      <w:r w:rsidR="000D2588" w:rsidRPr="00F93FAC">
        <w:rPr>
          <w:rFonts w:ascii="Calibri" w:eastAsia="Calibri" w:hAnsi="Calibri" w:cs="Calibri"/>
          <w:sz w:val="22"/>
          <w:szCs w:val="22"/>
        </w:rPr>
        <w:t xml:space="preserve">eligible for </w:t>
      </w:r>
      <w:r w:rsidR="006B3E60" w:rsidRPr="00F93FAC">
        <w:rPr>
          <w:rFonts w:ascii="Calibri" w:eastAsia="Calibri" w:hAnsi="Calibri" w:cs="Calibri"/>
          <w:sz w:val="22"/>
          <w:szCs w:val="22"/>
        </w:rPr>
        <w:t xml:space="preserve">Gold Standard </w:t>
      </w:r>
      <w:r w:rsidR="000D2588" w:rsidRPr="00F93FAC">
        <w:rPr>
          <w:rFonts w:ascii="Calibri" w:eastAsia="Calibri" w:hAnsi="Calibri" w:cs="Calibri"/>
          <w:sz w:val="22"/>
          <w:szCs w:val="22"/>
        </w:rPr>
        <w:t>labelling</w:t>
      </w:r>
    </w:p>
    <w:p w14:paraId="2AA337CF" w14:textId="7759D057" w:rsidR="00F93FAC" w:rsidRDefault="00F93FAC" w:rsidP="00F93FAC">
      <w:pPr>
        <w:pStyle w:val="ListParagraph"/>
        <w:numPr>
          <w:ilvl w:val="1"/>
          <w:numId w:val="40"/>
        </w:numPr>
      </w:pPr>
      <w:r w:rsidRPr="00F93FAC">
        <w:rPr>
          <w:rFonts w:ascii="Calibri" w:eastAsia="Calibri" w:hAnsi="Calibri" w:cs="Calibri"/>
          <w:sz w:val="22"/>
          <w:szCs w:val="22"/>
        </w:rPr>
        <w:t>Must</w:t>
      </w:r>
      <w:r>
        <w:rPr>
          <w:rFonts w:ascii="Calibri" w:eastAsia="Calibri" w:hAnsi="Calibri" w:cs="Calibri"/>
          <w:sz w:val="22"/>
          <w:szCs w:val="22"/>
        </w:rPr>
        <w:t xml:space="preserve"> have</w:t>
      </w:r>
      <w:r w:rsidRPr="00F93FAC">
        <w:rPr>
          <w:rFonts w:ascii="Calibri" w:eastAsia="Calibri" w:hAnsi="Calibri" w:cs="Calibri"/>
          <w:sz w:val="22"/>
          <w:szCs w:val="22"/>
        </w:rPr>
        <w:t xml:space="preserve"> </w:t>
      </w:r>
      <w:r w:rsidR="000D2588" w:rsidRPr="00F93FAC">
        <w:rPr>
          <w:rFonts w:ascii="Calibri" w:eastAsia="Calibri" w:hAnsi="Calibri" w:cs="Calibri"/>
          <w:sz w:val="22"/>
          <w:szCs w:val="22"/>
        </w:rPr>
        <w:t>completed the UNFCCC SD Tool</w:t>
      </w:r>
      <w:r w:rsidR="00E60D57" w:rsidRPr="00F93FAC">
        <w:rPr>
          <w:rFonts w:ascii="Calibri" w:eastAsia="Calibri" w:hAnsi="Calibri" w:cs="Calibri"/>
          <w:sz w:val="22"/>
          <w:szCs w:val="22"/>
        </w:rPr>
        <w:t xml:space="preserve"> </w:t>
      </w:r>
      <w:r>
        <w:rPr>
          <w:rStyle w:val="FootnoteReference"/>
        </w:rPr>
        <w:footnoteReference w:id="4"/>
      </w:r>
    </w:p>
    <w:p w14:paraId="1B10D624" w14:textId="177243EC" w:rsidR="000D2588" w:rsidRPr="00F93FAC" w:rsidRDefault="006B3E60" w:rsidP="00F93FAC">
      <w:pPr>
        <w:pStyle w:val="ListParagraph"/>
        <w:numPr>
          <w:ilvl w:val="0"/>
          <w:numId w:val="40"/>
        </w:numPr>
        <w:rPr>
          <w:rFonts w:ascii="Calibri" w:eastAsia="Calibri" w:hAnsi="Calibri" w:cs="Calibri"/>
          <w:sz w:val="22"/>
          <w:szCs w:val="22"/>
        </w:rPr>
      </w:pPr>
      <w:r w:rsidRPr="00F93FAC">
        <w:rPr>
          <w:rFonts w:ascii="Calibri" w:eastAsia="Calibri" w:hAnsi="Calibri" w:cs="Calibri"/>
          <w:sz w:val="22"/>
          <w:szCs w:val="22"/>
        </w:rPr>
        <w:t xml:space="preserve">Gold Standard </w:t>
      </w:r>
      <w:r w:rsidR="000D2588" w:rsidRPr="00F93FAC">
        <w:rPr>
          <w:rFonts w:ascii="Calibri" w:eastAsia="Calibri" w:hAnsi="Calibri" w:cs="Calibri"/>
          <w:sz w:val="22"/>
          <w:szCs w:val="22"/>
        </w:rPr>
        <w:t>VERs</w:t>
      </w:r>
      <w:r w:rsidR="0051224F" w:rsidRPr="00F93FAC">
        <w:rPr>
          <w:rFonts w:ascii="Calibri" w:eastAsia="Calibri" w:hAnsi="Calibri" w:cs="Calibri"/>
          <w:sz w:val="22"/>
          <w:szCs w:val="22"/>
        </w:rPr>
        <w:t xml:space="preserve"> (validated credits are not eligible) </w:t>
      </w:r>
    </w:p>
    <w:p w14:paraId="682B5A37" w14:textId="11D2D6C0" w:rsidR="00E2220A" w:rsidRDefault="006B3E60" w:rsidP="000D2588">
      <w:pPr>
        <w:spacing w:after="0"/>
        <w:rPr>
          <w:rFonts w:ascii="Calibri" w:eastAsia="Calibri" w:hAnsi="Calibri" w:cs="Calibri"/>
          <w:sz w:val="22"/>
          <w:szCs w:val="22"/>
        </w:rPr>
      </w:pPr>
      <w:r>
        <w:rPr>
          <w:rFonts w:ascii="Calibri" w:eastAsia="Calibri" w:hAnsi="Calibri" w:cs="Calibri"/>
          <w:sz w:val="22"/>
          <w:szCs w:val="22"/>
        </w:rPr>
        <w:br/>
      </w:r>
      <w:r w:rsidR="000D2588" w:rsidRPr="00EC52A2">
        <w:rPr>
          <w:rFonts w:ascii="Calibri" w:eastAsia="Calibri" w:hAnsi="Calibri" w:cs="Calibri"/>
          <w:sz w:val="22"/>
          <w:szCs w:val="22"/>
        </w:rPr>
        <w:t xml:space="preserve">The </w:t>
      </w:r>
      <w:r>
        <w:rPr>
          <w:rFonts w:ascii="Calibri" w:eastAsia="Calibri" w:hAnsi="Calibri" w:cs="Calibri"/>
          <w:sz w:val="22"/>
          <w:szCs w:val="22"/>
        </w:rPr>
        <w:t>u</w:t>
      </w:r>
      <w:r w:rsidRPr="00EC52A2">
        <w:rPr>
          <w:rFonts w:ascii="Calibri" w:eastAsia="Calibri" w:hAnsi="Calibri" w:cs="Calibri"/>
          <w:sz w:val="22"/>
          <w:szCs w:val="22"/>
        </w:rPr>
        <w:t xml:space="preserve">nits </w:t>
      </w:r>
      <w:r w:rsidR="000D2588" w:rsidRPr="00EC52A2">
        <w:rPr>
          <w:rFonts w:ascii="Calibri" w:eastAsia="Calibri" w:hAnsi="Calibri" w:cs="Calibri"/>
          <w:sz w:val="22"/>
          <w:szCs w:val="22"/>
        </w:rPr>
        <w:t xml:space="preserve">may come from any vintage so long as they have been </w:t>
      </w:r>
      <w:r>
        <w:rPr>
          <w:rFonts w:ascii="Calibri" w:eastAsia="Calibri" w:hAnsi="Calibri" w:cs="Calibri"/>
          <w:sz w:val="22"/>
          <w:szCs w:val="22"/>
        </w:rPr>
        <w:t>i</w:t>
      </w:r>
      <w:r w:rsidR="000D2588" w:rsidRPr="00EC52A2">
        <w:rPr>
          <w:rFonts w:ascii="Calibri" w:eastAsia="Calibri" w:hAnsi="Calibri" w:cs="Calibri"/>
          <w:sz w:val="22"/>
          <w:szCs w:val="22"/>
        </w:rPr>
        <w:t>ssued and can be demonstrated via attestation from the relevant registry to have been cancelled for the purposes of the</w:t>
      </w:r>
      <w:r>
        <w:rPr>
          <w:rFonts w:ascii="Calibri" w:eastAsia="Calibri" w:hAnsi="Calibri" w:cs="Calibri"/>
          <w:sz w:val="22"/>
          <w:szCs w:val="22"/>
        </w:rPr>
        <w:t xml:space="preserve"> respective</w:t>
      </w:r>
      <w:r w:rsidR="000D2588" w:rsidRPr="00EC52A2">
        <w:rPr>
          <w:rFonts w:ascii="Calibri" w:eastAsia="Calibri" w:hAnsi="Calibri" w:cs="Calibri"/>
          <w:sz w:val="22"/>
          <w:szCs w:val="22"/>
        </w:rPr>
        <w:t xml:space="preserve"> Gold Standard project </w:t>
      </w:r>
      <w:r>
        <w:rPr>
          <w:rFonts w:ascii="Calibri" w:eastAsia="Calibri" w:hAnsi="Calibri" w:cs="Calibri"/>
          <w:sz w:val="22"/>
          <w:szCs w:val="22"/>
        </w:rPr>
        <w:t xml:space="preserve">to address the topic of </w:t>
      </w:r>
      <w:r w:rsidR="000D2588" w:rsidRPr="00EC52A2">
        <w:rPr>
          <w:rFonts w:ascii="Calibri" w:eastAsia="Calibri" w:hAnsi="Calibri" w:cs="Calibri"/>
          <w:sz w:val="22"/>
          <w:szCs w:val="22"/>
        </w:rPr>
        <w:t xml:space="preserve">Double Counting.  </w:t>
      </w:r>
    </w:p>
    <w:p w14:paraId="07535117" w14:textId="77777777" w:rsidR="00E2220A" w:rsidRDefault="00E2220A" w:rsidP="000D2588">
      <w:pPr>
        <w:spacing w:after="0"/>
        <w:rPr>
          <w:rFonts w:ascii="Calibri" w:eastAsia="Calibri" w:hAnsi="Calibri" w:cs="Calibri"/>
          <w:sz w:val="22"/>
          <w:szCs w:val="22"/>
        </w:rPr>
      </w:pPr>
    </w:p>
    <w:p w14:paraId="6FF3F69F" w14:textId="29A11B93" w:rsidR="000D2588" w:rsidRPr="00EC52A2" w:rsidRDefault="00E2220A" w:rsidP="000D2588">
      <w:pPr>
        <w:spacing w:after="0"/>
        <w:rPr>
          <w:rFonts w:ascii="Calibri" w:eastAsia="Calibri" w:hAnsi="Calibri" w:cs="Calibri"/>
          <w:sz w:val="22"/>
          <w:szCs w:val="22"/>
        </w:rPr>
      </w:pPr>
      <w:proofErr w:type="spellStart"/>
      <w:proofErr w:type="gramStart"/>
      <w:r>
        <w:rPr>
          <w:rFonts w:ascii="Calibri" w:eastAsia="Calibri" w:hAnsi="Calibri" w:cs="Calibri"/>
          <w:sz w:val="22"/>
          <w:szCs w:val="22"/>
        </w:rPr>
        <w:t>tCER</w:t>
      </w:r>
      <w:proofErr w:type="spellEnd"/>
      <w:proofErr w:type="gramEnd"/>
      <w:r>
        <w:rPr>
          <w:rFonts w:ascii="Calibri" w:eastAsia="Calibri" w:hAnsi="Calibri" w:cs="Calibri"/>
          <w:sz w:val="22"/>
          <w:szCs w:val="22"/>
        </w:rPr>
        <w:t xml:space="preserve"> and </w:t>
      </w:r>
      <w:proofErr w:type="spellStart"/>
      <w:r>
        <w:rPr>
          <w:rFonts w:ascii="Calibri" w:eastAsia="Calibri" w:hAnsi="Calibri" w:cs="Calibri"/>
          <w:sz w:val="22"/>
          <w:szCs w:val="22"/>
        </w:rPr>
        <w:t>lCERs</w:t>
      </w:r>
      <w:proofErr w:type="spellEnd"/>
      <w:r>
        <w:rPr>
          <w:rFonts w:ascii="Calibri" w:eastAsia="Calibri" w:hAnsi="Calibri" w:cs="Calibri"/>
          <w:sz w:val="22"/>
          <w:szCs w:val="22"/>
        </w:rPr>
        <w:t xml:space="preserve"> from CDM A/R are not eligible.</w:t>
      </w:r>
    </w:p>
    <w:p w14:paraId="7607A496" w14:textId="77777777" w:rsidR="000D2588" w:rsidRPr="00EC52A2" w:rsidRDefault="000D2588" w:rsidP="000D2588">
      <w:pPr>
        <w:spacing w:after="0"/>
        <w:rPr>
          <w:rFonts w:ascii="Calibri" w:eastAsia="Calibri" w:hAnsi="Calibri" w:cs="Calibri"/>
          <w:sz w:val="22"/>
          <w:szCs w:val="22"/>
        </w:rPr>
      </w:pPr>
    </w:p>
    <w:p w14:paraId="2BA076D6" w14:textId="06E28366" w:rsidR="002E5431" w:rsidRDefault="009E0BAC" w:rsidP="006E5C5F">
      <w:pPr>
        <w:pStyle w:val="NormalWeb"/>
        <w:spacing w:before="0" w:beforeAutospacing="0" w:after="0" w:afterAutospacing="0"/>
        <w:rPr>
          <w:rFonts w:ascii="Calibri" w:hAnsi="Calibri"/>
          <w:sz w:val="22"/>
          <w:szCs w:val="22"/>
        </w:rPr>
      </w:pPr>
      <w:r w:rsidRPr="00EC52A2">
        <w:rPr>
          <w:rFonts w:ascii="Calibri" w:hAnsi="Calibri"/>
          <w:sz w:val="22"/>
          <w:szCs w:val="22"/>
        </w:rPr>
        <w:lastRenderedPageBreak/>
        <w:t xml:space="preserve">An equivalent number of </w:t>
      </w:r>
      <w:r w:rsidR="00792CEA" w:rsidRPr="009416CF">
        <w:rPr>
          <w:rFonts w:ascii="Calibri" w:hAnsi="Calibri"/>
          <w:i/>
          <w:sz w:val="22"/>
          <w:szCs w:val="22"/>
        </w:rPr>
        <w:t>Eligible</w:t>
      </w:r>
      <w:r w:rsidR="00FE2E21" w:rsidRPr="009416CF">
        <w:rPr>
          <w:rFonts w:ascii="Calibri" w:hAnsi="Calibri"/>
          <w:i/>
          <w:sz w:val="22"/>
          <w:szCs w:val="22"/>
        </w:rPr>
        <w:t xml:space="preserve"> Cancellation Unit</w:t>
      </w:r>
      <w:r w:rsidR="00A14D23" w:rsidRPr="009416CF">
        <w:rPr>
          <w:rFonts w:ascii="Calibri" w:hAnsi="Calibri"/>
          <w:i/>
          <w:sz w:val="22"/>
          <w:szCs w:val="22"/>
        </w:rPr>
        <w:t>s</w:t>
      </w:r>
      <w:r w:rsidR="00A14D23" w:rsidRPr="00EC52A2">
        <w:rPr>
          <w:rFonts w:ascii="Calibri" w:hAnsi="Calibri"/>
          <w:sz w:val="22"/>
          <w:szCs w:val="22"/>
        </w:rPr>
        <w:t xml:space="preserve"> </w:t>
      </w:r>
      <w:r w:rsidRPr="00EC52A2">
        <w:rPr>
          <w:rFonts w:ascii="Calibri" w:hAnsi="Calibri"/>
          <w:sz w:val="22"/>
          <w:szCs w:val="22"/>
        </w:rPr>
        <w:t xml:space="preserve">shall </w:t>
      </w:r>
      <w:r w:rsidR="00A14D23" w:rsidRPr="00EC52A2">
        <w:rPr>
          <w:rFonts w:ascii="Calibri" w:hAnsi="Calibri"/>
          <w:sz w:val="22"/>
          <w:szCs w:val="22"/>
        </w:rPr>
        <w:t>be cancelled</w:t>
      </w:r>
      <w:r w:rsidR="00790E80" w:rsidRPr="00EC52A2">
        <w:rPr>
          <w:rFonts w:ascii="Calibri" w:hAnsi="Calibri"/>
          <w:sz w:val="22"/>
          <w:szCs w:val="22"/>
        </w:rPr>
        <w:t xml:space="preserve"> </w:t>
      </w:r>
      <w:r w:rsidR="004371FE" w:rsidRPr="00EC52A2">
        <w:rPr>
          <w:rFonts w:ascii="Calibri" w:hAnsi="Calibri"/>
          <w:sz w:val="22"/>
          <w:szCs w:val="22"/>
        </w:rPr>
        <w:t xml:space="preserve">prior to </w:t>
      </w:r>
      <w:r w:rsidR="008B490D" w:rsidRPr="00EC52A2">
        <w:rPr>
          <w:rFonts w:ascii="Calibri" w:hAnsi="Calibri"/>
          <w:sz w:val="22"/>
          <w:szCs w:val="22"/>
        </w:rPr>
        <w:t xml:space="preserve">each </w:t>
      </w:r>
      <w:r w:rsidR="002E5431">
        <w:rPr>
          <w:rFonts w:ascii="Calibri" w:hAnsi="Calibri"/>
          <w:sz w:val="22"/>
          <w:szCs w:val="22"/>
        </w:rPr>
        <w:t>i</w:t>
      </w:r>
      <w:r w:rsidR="002E5431" w:rsidRPr="00EC52A2">
        <w:rPr>
          <w:rFonts w:ascii="Calibri" w:hAnsi="Calibri"/>
          <w:sz w:val="22"/>
          <w:szCs w:val="22"/>
        </w:rPr>
        <w:t xml:space="preserve">ssuance </w:t>
      </w:r>
      <w:r w:rsidR="008B490D" w:rsidRPr="00EC52A2">
        <w:rPr>
          <w:rFonts w:ascii="Calibri" w:hAnsi="Calibri"/>
          <w:sz w:val="22"/>
          <w:szCs w:val="22"/>
        </w:rPr>
        <w:t>of an affected project</w:t>
      </w:r>
      <w:r w:rsidR="004371FE" w:rsidRPr="00EC52A2">
        <w:rPr>
          <w:rFonts w:ascii="Calibri" w:hAnsi="Calibri"/>
          <w:sz w:val="22"/>
          <w:szCs w:val="22"/>
        </w:rPr>
        <w:t xml:space="preserve">.  </w:t>
      </w:r>
      <w:r w:rsidRPr="00EC52A2">
        <w:rPr>
          <w:rFonts w:ascii="Calibri" w:hAnsi="Calibri"/>
          <w:sz w:val="22"/>
          <w:szCs w:val="22"/>
        </w:rPr>
        <w:t xml:space="preserve">The </w:t>
      </w:r>
      <w:r w:rsidR="002E5431" w:rsidRPr="00EC52A2">
        <w:rPr>
          <w:rFonts w:ascii="Calibri" w:hAnsi="Calibri"/>
          <w:sz w:val="22"/>
          <w:szCs w:val="22"/>
        </w:rPr>
        <w:t>G</w:t>
      </w:r>
      <w:r w:rsidR="002E5431">
        <w:rPr>
          <w:rFonts w:ascii="Calibri" w:hAnsi="Calibri"/>
          <w:sz w:val="22"/>
          <w:szCs w:val="22"/>
        </w:rPr>
        <w:t>old Standard</w:t>
      </w:r>
      <w:r w:rsidR="002E5431" w:rsidRPr="00EC52A2">
        <w:rPr>
          <w:rFonts w:ascii="Calibri" w:hAnsi="Calibri"/>
          <w:sz w:val="22"/>
          <w:szCs w:val="22"/>
        </w:rPr>
        <w:t xml:space="preserve"> </w:t>
      </w:r>
      <w:r w:rsidRPr="00EC52A2">
        <w:rPr>
          <w:rFonts w:ascii="Calibri" w:hAnsi="Calibri"/>
          <w:sz w:val="22"/>
          <w:szCs w:val="22"/>
        </w:rPr>
        <w:t>VER</w:t>
      </w:r>
      <w:r w:rsidR="002E5431" w:rsidRPr="00EC52A2">
        <w:rPr>
          <w:rFonts w:ascii="Calibri" w:eastAsia="Calibri" w:hAnsi="Calibri" w:cs="Calibri"/>
          <w:sz w:val="22"/>
          <w:szCs w:val="22"/>
        </w:rPr>
        <w:t>/CO</w:t>
      </w:r>
      <w:r w:rsidR="002E5431" w:rsidRPr="00EC52A2">
        <w:rPr>
          <w:rFonts w:ascii="Calibri" w:eastAsia="Calibri" w:hAnsi="Calibri" w:cs="Calibri"/>
          <w:sz w:val="18"/>
          <w:szCs w:val="22"/>
        </w:rPr>
        <w:t>2</w:t>
      </w:r>
      <w:r w:rsidR="002E5431" w:rsidRPr="00EC52A2">
        <w:rPr>
          <w:rFonts w:ascii="Calibri" w:eastAsia="Calibri" w:hAnsi="Calibri" w:cs="Calibri"/>
          <w:sz w:val="22"/>
          <w:szCs w:val="22"/>
        </w:rPr>
        <w:t>-certificates</w:t>
      </w:r>
      <w:r w:rsidRPr="00EC52A2">
        <w:rPr>
          <w:rFonts w:ascii="Calibri" w:hAnsi="Calibri"/>
          <w:sz w:val="22"/>
          <w:szCs w:val="22"/>
        </w:rPr>
        <w:t xml:space="preserve"> </w:t>
      </w:r>
      <w:r w:rsidR="002E5431">
        <w:rPr>
          <w:rFonts w:ascii="Calibri" w:hAnsi="Calibri"/>
          <w:sz w:val="22"/>
          <w:szCs w:val="22"/>
        </w:rPr>
        <w:t>i</w:t>
      </w:r>
      <w:r w:rsidR="002E5431" w:rsidRPr="00EC52A2">
        <w:rPr>
          <w:rFonts w:ascii="Calibri" w:hAnsi="Calibri"/>
          <w:sz w:val="22"/>
          <w:szCs w:val="22"/>
        </w:rPr>
        <w:t xml:space="preserve">ssuance </w:t>
      </w:r>
      <w:r w:rsidRPr="00EC52A2">
        <w:rPr>
          <w:rFonts w:ascii="Calibri" w:hAnsi="Calibri"/>
          <w:sz w:val="22"/>
          <w:szCs w:val="22"/>
        </w:rPr>
        <w:t>process</w:t>
      </w:r>
      <w:r w:rsidR="00792CEA" w:rsidRPr="00EC52A2">
        <w:rPr>
          <w:rFonts w:ascii="Calibri" w:hAnsi="Calibri"/>
          <w:sz w:val="22"/>
          <w:szCs w:val="22"/>
        </w:rPr>
        <w:t xml:space="preserve"> will </w:t>
      </w:r>
      <w:r w:rsidRPr="00EC52A2">
        <w:rPr>
          <w:rFonts w:ascii="Calibri" w:hAnsi="Calibri"/>
          <w:sz w:val="22"/>
          <w:szCs w:val="22"/>
        </w:rPr>
        <w:t xml:space="preserve">occur in line with the timescales as appropriate under the Gold Standard Rules and Requirements, but </w:t>
      </w:r>
      <w:r w:rsidR="002E5431" w:rsidRPr="00EC52A2">
        <w:rPr>
          <w:rFonts w:ascii="Calibri" w:hAnsi="Calibri"/>
          <w:sz w:val="22"/>
          <w:szCs w:val="22"/>
        </w:rPr>
        <w:t>G</w:t>
      </w:r>
      <w:r w:rsidR="002E5431">
        <w:rPr>
          <w:rFonts w:ascii="Calibri" w:hAnsi="Calibri"/>
          <w:sz w:val="22"/>
          <w:szCs w:val="22"/>
        </w:rPr>
        <w:t>old Standard</w:t>
      </w:r>
      <w:r w:rsidR="002E5431" w:rsidRPr="00EC52A2">
        <w:rPr>
          <w:rFonts w:ascii="Calibri" w:hAnsi="Calibri"/>
          <w:sz w:val="22"/>
          <w:szCs w:val="22"/>
        </w:rPr>
        <w:t xml:space="preserve"> </w:t>
      </w:r>
      <w:r w:rsidRPr="00EC52A2">
        <w:rPr>
          <w:rFonts w:ascii="Calibri" w:hAnsi="Calibri"/>
          <w:sz w:val="22"/>
          <w:szCs w:val="22"/>
        </w:rPr>
        <w:t>VER</w:t>
      </w:r>
      <w:r w:rsidR="002E5431" w:rsidRPr="00EC52A2">
        <w:rPr>
          <w:rFonts w:ascii="Calibri" w:eastAsia="Calibri" w:hAnsi="Calibri" w:cs="Calibri"/>
          <w:sz w:val="22"/>
          <w:szCs w:val="22"/>
        </w:rPr>
        <w:t>/CO</w:t>
      </w:r>
      <w:r w:rsidR="002E5431" w:rsidRPr="00EC52A2">
        <w:rPr>
          <w:rFonts w:ascii="Calibri" w:eastAsia="Calibri" w:hAnsi="Calibri" w:cs="Calibri"/>
          <w:sz w:val="18"/>
          <w:szCs w:val="22"/>
        </w:rPr>
        <w:t>2</w:t>
      </w:r>
      <w:r w:rsidR="002E5431" w:rsidRPr="00EC52A2">
        <w:rPr>
          <w:rFonts w:ascii="Calibri" w:eastAsia="Calibri" w:hAnsi="Calibri" w:cs="Calibri"/>
          <w:sz w:val="22"/>
          <w:szCs w:val="22"/>
        </w:rPr>
        <w:t>-certificates</w:t>
      </w:r>
      <w:r w:rsidRPr="00EC52A2">
        <w:rPr>
          <w:rFonts w:ascii="Calibri" w:hAnsi="Calibri"/>
          <w:sz w:val="22"/>
          <w:szCs w:val="22"/>
        </w:rPr>
        <w:t xml:space="preserve"> </w:t>
      </w:r>
      <w:r w:rsidR="002E5431">
        <w:rPr>
          <w:rFonts w:ascii="Calibri" w:hAnsi="Calibri"/>
          <w:sz w:val="22"/>
          <w:szCs w:val="22"/>
        </w:rPr>
        <w:t>i</w:t>
      </w:r>
      <w:r w:rsidR="002E5431" w:rsidRPr="00EC52A2">
        <w:rPr>
          <w:rFonts w:ascii="Calibri" w:hAnsi="Calibri"/>
          <w:sz w:val="22"/>
          <w:szCs w:val="22"/>
        </w:rPr>
        <w:t xml:space="preserve">ssuance </w:t>
      </w:r>
      <w:r w:rsidRPr="00EC52A2">
        <w:rPr>
          <w:rFonts w:ascii="Calibri" w:hAnsi="Calibri"/>
          <w:sz w:val="22"/>
          <w:szCs w:val="22"/>
        </w:rPr>
        <w:t xml:space="preserve">will </w:t>
      </w:r>
      <w:r w:rsidR="00792CEA" w:rsidRPr="00EC52A2">
        <w:rPr>
          <w:rFonts w:ascii="Calibri" w:hAnsi="Calibri"/>
          <w:sz w:val="22"/>
          <w:szCs w:val="22"/>
        </w:rPr>
        <w:t>not b</w:t>
      </w:r>
      <w:r w:rsidR="00A14D23" w:rsidRPr="00EC52A2">
        <w:rPr>
          <w:rFonts w:ascii="Calibri" w:hAnsi="Calibri"/>
          <w:sz w:val="22"/>
          <w:szCs w:val="22"/>
        </w:rPr>
        <w:t>e completed until the cancellation</w:t>
      </w:r>
      <w:r w:rsidR="00792CEA" w:rsidRPr="00EC52A2">
        <w:rPr>
          <w:rFonts w:ascii="Calibri" w:hAnsi="Calibri"/>
          <w:sz w:val="22"/>
          <w:szCs w:val="22"/>
        </w:rPr>
        <w:t xml:space="preserve"> </w:t>
      </w:r>
      <w:r w:rsidRPr="00EC52A2">
        <w:rPr>
          <w:rFonts w:ascii="Calibri" w:hAnsi="Calibri"/>
          <w:sz w:val="22"/>
          <w:szCs w:val="22"/>
        </w:rPr>
        <w:t xml:space="preserve">of an equivalent number of </w:t>
      </w:r>
      <w:r w:rsidR="002E5431" w:rsidRPr="00A248CF">
        <w:rPr>
          <w:rFonts w:ascii="Calibri" w:hAnsi="Calibri"/>
          <w:i/>
          <w:sz w:val="22"/>
          <w:szCs w:val="22"/>
        </w:rPr>
        <w:t>Eligible Cancellation Units</w:t>
      </w:r>
      <w:r w:rsidR="002E5431" w:rsidRPr="00EC52A2">
        <w:rPr>
          <w:rFonts w:ascii="Calibri" w:hAnsi="Calibri"/>
          <w:sz w:val="22"/>
          <w:szCs w:val="22"/>
        </w:rPr>
        <w:t xml:space="preserve"> </w:t>
      </w:r>
      <w:r w:rsidR="00792CEA" w:rsidRPr="00EC52A2">
        <w:rPr>
          <w:rFonts w:ascii="Calibri" w:hAnsi="Calibri"/>
          <w:sz w:val="22"/>
          <w:szCs w:val="22"/>
        </w:rPr>
        <w:t xml:space="preserve">has </w:t>
      </w:r>
      <w:r w:rsidRPr="00EC52A2">
        <w:rPr>
          <w:rFonts w:ascii="Calibri" w:hAnsi="Calibri"/>
          <w:sz w:val="22"/>
          <w:szCs w:val="22"/>
        </w:rPr>
        <w:t>been confirmed</w:t>
      </w:r>
      <w:r w:rsidR="008B490D" w:rsidRPr="00EC52A2">
        <w:rPr>
          <w:rFonts w:ascii="Calibri" w:hAnsi="Calibri"/>
          <w:sz w:val="22"/>
          <w:szCs w:val="22"/>
        </w:rPr>
        <w:t>/attested</w:t>
      </w:r>
      <w:r w:rsidR="00790E80" w:rsidRPr="00EC52A2">
        <w:rPr>
          <w:rFonts w:ascii="Calibri" w:hAnsi="Calibri"/>
          <w:sz w:val="22"/>
          <w:szCs w:val="22"/>
        </w:rPr>
        <w:t>.</w:t>
      </w:r>
      <w:r w:rsidR="002E5431">
        <w:rPr>
          <w:rFonts w:ascii="Calibri" w:hAnsi="Calibri"/>
          <w:sz w:val="22"/>
          <w:szCs w:val="22"/>
        </w:rPr>
        <w:br/>
      </w:r>
    </w:p>
    <w:p w14:paraId="1E4CFC75" w14:textId="37D79512" w:rsidR="002E5431" w:rsidRPr="00EC52A2" w:rsidRDefault="002E5431" w:rsidP="002E5431">
      <w:pPr>
        <w:spacing w:after="0"/>
        <w:rPr>
          <w:rFonts w:ascii="Calibri" w:eastAsia="Calibri" w:hAnsi="Calibri" w:cs="Calibri"/>
          <w:sz w:val="22"/>
          <w:szCs w:val="22"/>
        </w:rPr>
      </w:pPr>
      <w:r>
        <w:rPr>
          <w:rFonts w:ascii="Calibri" w:eastAsia="Calibri" w:hAnsi="Calibri" w:cs="Calibri"/>
          <w:sz w:val="22"/>
          <w:szCs w:val="22"/>
        </w:rPr>
        <w:t>Gold Standard justifies t</w:t>
      </w:r>
      <w:r w:rsidRPr="00EC52A2">
        <w:rPr>
          <w:rFonts w:ascii="Calibri" w:eastAsia="Calibri" w:hAnsi="Calibri" w:cs="Calibri"/>
          <w:sz w:val="22"/>
          <w:szCs w:val="22"/>
        </w:rPr>
        <w:t xml:space="preserve">he selection of </w:t>
      </w:r>
      <w:r w:rsidRPr="009416CF">
        <w:rPr>
          <w:rFonts w:ascii="Calibri" w:eastAsia="Calibri" w:hAnsi="Calibri" w:cs="Calibri"/>
          <w:i/>
          <w:sz w:val="22"/>
          <w:szCs w:val="22"/>
        </w:rPr>
        <w:t>Eligible Cancellation Units</w:t>
      </w:r>
      <w:r w:rsidRPr="00EC52A2">
        <w:rPr>
          <w:rFonts w:ascii="Calibri" w:eastAsia="Calibri" w:hAnsi="Calibri" w:cs="Calibri"/>
          <w:sz w:val="22"/>
          <w:szCs w:val="22"/>
        </w:rPr>
        <w:t xml:space="preserve"> as follows:</w:t>
      </w:r>
    </w:p>
    <w:p w14:paraId="0A7DE940" w14:textId="5F4750E6" w:rsidR="002E5431" w:rsidRPr="00EC52A2" w:rsidRDefault="002E5431" w:rsidP="002E5431">
      <w:pPr>
        <w:pStyle w:val="ListParagraph"/>
        <w:numPr>
          <w:ilvl w:val="0"/>
          <w:numId w:val="34"/>
        </w:numPr>
        <w:spacing w:after="0"/>
        <w:rPr>
          <w:rFonts w:ascii="Calibri" w:eastAsia="Calibri" w:hAnsi="Calibri" w:cs="Calibri"/>
          <w:sz w:val="22"/>
          <w:szCs w:val="22"/>
        </w:rPr>
      </w:pPr>
      <w:r w:rsidRPr="00EC52A2">
        <w:rPr>
          <w:rFonts w:ascii="Calibri" w:eastAsia="Calibri" w:hAnsi="Calibri" w:cs="Calibri"/>
          <w:sz w:val="22"/>
          <w:szCs w:val="22"/>
        </w:rPr>
        <w:t>To avoid any built-in discrepant accounting</w:t>
      </w:r>
      <w:r w:rsidR="0051224F">
        <w:rPr>
          <w:rFonts w:ascii="Calibri" w:eastAsia="Calibri" w:hAnsi="Calibri" w:cs="Calibri"/>
          <w:sz w:val="22"/>
          <w:szCs w:val="22"/>
        </w:rPr>
        <w:t>,</w:t>
      </w:r>
      <w:r w:rsidRPr="00EC52A2">
        <w:rPr>
          <w:rFonts w:ascii="Calibri" w:eastAsia="Calibri" w:hAnsi="Calibri" w:cs="Calibri"/>
          <w:sz w:val="22"/>
          <w:szCs w:val="22"/>
        </w:rPr>
        <w:t xml:space="preserve"> the units must be from an accounting mechanism that is either:</w:t>
      </w:r>
    </w:p>
    <w:p w14:paraId="1B6A0070" w14:textId="15A46870" w:rsidR="002E5431" w:rsidRDefault="002E5431" w:rsidP="002E5431">
      <w:pPr>
        <w:pStyle w:val="ListParagraph"/>
        <w:numPr>
          <w:ilvl w:val="1"/>
          <w:numId w:val="34"/>
        </w:numPr>
        <w:spacing w:after="0"/>
        <w:rPr>
          <w:rFonts w:ascii="Calibri" w:eastAsia="Calibri" w:hAnsi="Calibri" w:cs="Calibri"/>
          <w:sz w:val="22"/>
          <w:szCs w:val="22"/>
        </w:rPr>
      </w:pPr>
      <w:r w:rsidRPr="00EC52A2">
        <w:rPr>
          <w:rFonts w:ascii="Calibri" w:eastAsia="Calibri" w:hAnsi="Calibri" w:cs="Calibri"/>
          <w:sz w:val="22"/>
          <w:szCs w:val="22"/>
        </w:rPr>
        <w:t xml:space="preserve">Equivalent to the </w:t>
      </w:r>
      <w:r w:rsidR="0051224F">
        <w:rPr>
          <w:rFonts w:ascii="Calibri" w:eastAsia="Calibri" w:hAnsi="Calibri" w:cs="Calibri"/>
          <w:sz w:val="22"/>
          <w:szCs w:val="22"/>
        </w:rPr>
        <w:t xml:space="preserve">one implemented by </w:t>
      </w:r>
      <w:r w:rsidRPr="00EC52A2">
        <w:rPr>
          <w:rFonts w:ascii="Calibri" w:eastAsia="Calibri" w:hAnsi="Calibri" w:cs="Calibri"/>
          <w:sz w:val="22"/>
          <w:szCs w:val="22"/>
        </w:rPr>
        <w:t>host regulatory bodies (e.g. AAUs) to mitigate any risk of discrepant accounting</w:t>
      </w:r>
    </w:p>
    <w:p w14:paraId="00569910" w14:textId="153AA886" w:rsidR="005C49C5" w:rsidRPr="00EC52A2" w:rsidRDefault="005C49C5" w:rsidP="002E5431">
      <w:pPr>
        <w:pStyle w:val="ListParagraph"/>
        <w:numPr>
          <w:ilvl w:val="1"/>
          <w:numId w:val="34"/>
        </w:numPr>
        <w:spacing w:after="0"/>
        <w:rPr>
          <w:rFonts w:ascii="Calibri" w:eastAsia="Calibri" w:hAnsi="Calibri" w:cs="Calibri"/>
          <w:sz w:val="22"/>
          <w:szCs w:val="22"/>
        </w:rPr>
      </w:pPr>
      <w:r>
        <w:rPr>
          <w:rFonts w:ascii="Calibri" w:eastAsia="Calibri" w:hAnsi="Calibri" w:cs="Calibri"/>
          <w:sz w:val="22"/>
          <w:szCs w:val="22"/>
        </w:rPr>
        <w:t>Equivalent to the GS VER issued (e.g. another GS VER)</w:t>
      </w:r>
    </w:p>
    <w:p w14:paraId="4C9F8767" w14:textId="3489339E" w:rsidR="002E5431" w:rsidRPr="00EC52A2" w:rsidRDefault="002E5431" w:rsidP="002E5431">
      <w:pPr>
        <w:pStyle w:val="ListParagraph"/>
        <w:numPr>
          <w:ilvl w:val="1"/>
          <w:numId w:val="34"/>
        </w:numPr>
        <w:spacing w:after="0"/>
        <w:rPr>
          <w:rFonts w:ascii="Calibri" w:eastAsia="Calibri" w:hAnsi="Calibri" w:cs="Calibri"/>
          <w:sz w:val="22"/>
          <w:szCs w:val="22"/>
        </w:rPr>
      </w:pPr>
      <w:r w:rsidRPr="00EC52A2">
        <w:rPr>
          <w:rFonts w:ascii="Calibri" w:eastAsia="Calibri" w:hAnsi="Calibri" w:cs="Calibri"/>
          <w:sz w:val="22"/>
          <w:szCs w:val="22"/>
        </w:rPr>
        <w:t>One that Gold Standard has assessed and accepts as robust (e.g. CDM)</w:t>
      </w:r>
    </w:p>
    <w:p w14:paraId="1F1A5588" w14:textId="3A3B13D7" w:rsidR="002E5431" w:rsidRPr="00EC52A2" w:rsidRDefault="002E5431" w:rsidP="002E5431">
      <w:pPr>
        <w:pStyle w:val="ListParagraph"/>
        <w:numPr>
          <w:ilvl w:val="0"/>
          <w:numId w:val="34"/>
        </w:numPr>
        <w:spacing w:after="0"/>
        <w:rPr>
          <w:rFonts w:ascii="Calibri" w:eastAsia="Calibri" w:hAnsi="Calibri" w:cs="Calibri"/>
          <w:sz w:val="22"/>
          <w:szCs w:val="22"/>
        </w:rPr>
      </w:pPr>
      <w:r w:rsidRPr="00EC52A2">
        <w:rPr>
          <w:rFonts w:ascii="Calibri" w:eastAsia="Calibri" w:hAnsi="Calibri" w:cs="Calibri"/>
          <w:sz w:val="22"/>
          <w:szCs w:val="22"/>
        </w:rPr>
        <w:t>Must be issued in a transparent registry that allows for clear serial numbering and unequivocal attestation as to purpose</w:t>
      </w:r>
      <w:r w:rsidR="00F93FAC">
        <w:rPr>
          <w:rFonts w:ascii="Calibri" w:eastAsia="Calibri" w:hAnsi="Calibri" w:cs="Calibri"/>
          <w:sz w:val="22"/>
          <w:szCs w:val="22"/>
        </w:rPr>
        <w:t>.  For example at the point of a cancellation some registries (for example UNFCCC Voluntary Cancellation Platform) allow for the attestation of purpose to be stated in the receipting.  This attestation is required to demonstrate to GS that the purpose of cancellation was explicitly for the mitigation of double counting risks.  The attestation should therefore include the GS Project number (if known) and clear reference to name, location and methodology.</w:t>
      </w:r>
    </w:p>
    <w:p w14:paraId="50501773" w14:textId="77777777" w:rsidR="002E5431" w:rsidRPr="00EC52A2" w:rsidRDefault="002E5431" w:rsidP="002E5431">
      <w:pPr>
        <w:pStyle w:val="ListParagraph"/>
        <w:numPr>
          <w:ilvl w:val="0"/>
          <w:numId w:val="34"/>
        </w:numPr>
        <w:spacing w:after="0"/>
        <w:rPr>
          <w:rFonts w:ascii="Calibri" w:eastAsia="Calibri" w:hAnsi="Calibri" w:cs="Calibri"/>
          <w:sz w:val="22"/>
          <w:szCs w:val="22"/>
        </w:rPr>
      </w:pPr>
      <w:r w:rsidRPr="00EC52A2">
        <w:rPr>
          <w:rFonts w:ascii="Calibri" w:eastAsia="Calibri" w:hAnsi="Calibri" w:cs="Calibri"/>
          <w:sz w:val="22"/>
          <w:szCs w:val="22"/>
        </w:rPr>
        <w:t>Must not inadvertently interfere with host regulatory scheme accounting.</w:t>
      </w:r>
    </w:p>
    <w:p w14:paraId="2A346544" w14:textId="77777777" w:rsidR="0051224F" w:rsidRDefault="0051224F" w:rsidP="005F69BA">
      <w:pPr>
        <w:rPr>
          <w:rFonts w:ascii="Calibri" w:hAnsi="Calibri"/>
          <w:sz w:val="22"/>
          <w:szCs w:val="22"/>
        </w:rPr>
      </w:pPr>
    </w:p>
    <w:p w14:paraId="76CDC23B" w14:textId="068221FD" w:rsidR="004325FC" w:rsidRPr="00640734" w:rsidRDefault="004325FC" w:rsidP="005F69BA">
      <w:pPr>
        <w:pStyle w:val="Normal1"/>
        <w:numPr>
          <w:ilvl w:val="0"/>
          <w:numId w:val="1"/>
        </w:numPr>
        <w:spacing w:after="0"/>
        <w:contextualSpacing w:val="0"/>
        <w:rPr>
          <w:rFonts w:ascii="Calibri" w:hAnsi="Calibri"/>
          <w:sz w:val="22"/>
          <w:szCs w:val="22"/>
        </w:rPr>
      </w:pPr>
      <w:r w:rsidRPr="00640734">
        <w:rPr>
          <w:rFonts w:ascii="Calibri" w:hAnsi="Calibri"/>
          <w:b/>
          <w:sz w:val="22"/>
          <w:szCs w:val="22"/>
        </w:rPr>
        <w:t>PROCEDURES</w:t>
      </w:r>
    </w:p>
    <w:p w14:paraId="0B1E3F52" w14:textId="77777777" w:rsidR="00C66B1C" w:rsidRDefault="004325FC" w:rsidP="009416CF">
      <w:pPr>
        <w:spacing w:after="0"/>
        <w:rPr>
          <w:rFonts w:ascii="Calibri" w:hAnsi="Calibri"/>
          <w:sz w:val="22"/>
          <w:szCs w:val="22"/>
        </w:rPr>
      </w:pPr>
      <w:r w:rsidRPr="00640734">
        <w:rPr>
          <w:rFonts w:ascii="Calibri" w:hAnsi="Calibri"/>
          <w:sz w:val="22"/>
          <w:szCs w:val="22"/>
        </w:rPr>
        <w:br/>
      </w:r>
      <w:r w:rsidR="0051224F" w:rsidRPr="00640734">
        <w:rPr>
          <w:rFonts w:ascii="Calibri" w:hAnsi="Calibri"/>
          <w:sz w:val="22"/>
          <w:szCs w:val="22"/>
        </w:rPr>
        <w:t>While submitting documents for “Listing’ process</w:t>
      </w:r>
      <w:r w:rsidR="00725341" w:rsidRPr="00640734">
        <w:rPr>
          <w:rFonts w:ascii="Calibri" w:hAnsi="Calibri"/>
          <w:sz w:val="22"/>
          <w:szCs w:val="22"/>
        </w:rPr>
        <w:t xml:space="preserve"> </w:t>
      </w:r>
      <w:r w:rsidR="009416CF" w:rsidRPr="00640734">
        <w:rPr>
          <w:rFonts w:ascii="Calibri" w:hAnsi="Calibri"/>
          <w:sz w:val="22"/>
          <w:szCs w:val="22"/>
        </w:rPr>
        <w:t>the project owner</w:t>
      </w:r>
      <w:r w:rsidR="00DA0A32" w:rsidRPr="00640734">
        <w:rPr>
          <w:rFonts w:ascii="Calibri" w:hAnsi="Calibri"/>
          <w:sz w:val="22"/>
          <w:szCs w:val="22"/>
        </w:rPr>
        <w:t xml:space="preserve"> shall fill-in the template “Double Counting</w:t>
      </w:r>
      <w:r w:rsidR="005768A8" w:rsidRPr="00640734">
        <w:rPr>
          <w:rFonts w:ascii="Calibri" w:hAnsi="Calibri"/>
          <w:sz w:val="22"/>
          <w:szCs w:val="22"/>
        </w:rPr>
        <w:t xml:space="preserve"> Check</w:t>
      </w:r>
      <w:r w:rsidR="00DA0A32" w:rsidRPr="00640734">
        <w:rPr>
          <w:rFonts w:ascii="Calibri" w:hAnsi="Calibri"/>
          <w:sz w:val="22"/>
          <w:szCs w:val="22"/>
        </w:rPr>
        <w:t xml:space="preserve">” </w:t>
      </w:r>
      <w:r w:rsidR="005768A8" w:rsidRPr="00640734">
        <w:rPr>
          <w:rFonts w:ascii="Calibri" w:hAnsi="Calibri"/>
          <w:sz w:val="22"/>
          <w:szCs w:val="22"/>
        </w:rPr>
        <w:t>and submit it t</w:t>
      </w:r>
      <w:r w:rsidR="009416CF" w:rsidRPr="00640734">
        <w:rPr>
          <w:rFonts w:ascii="Calibri" w:hAnsi="Calibri"/>
          <w:sz w:val="22"/>
          <w:szCs w:val="22"/>
        </w:rPr>
        <w:t xml:space="preserve">o the Gold Standard secretariat. </w:t>
      </w:r>
      <w:r w:rsidR="005D6076" w:rsidRPr="00640734">
        <w:rPr>
          <w:rFonts w:ascii="Calibri" w:hAnsi="Calibri"/>
          <w:sz w:val="22"/>
          <w:szCs w:val="22"/>
        </w:rPr>
        <w:t xml:space="preserve">The Gold Standard secretariat will review the project information and provide </w:t>
      </w:r>
      <w:r w:rsidR="005F69BA" w:rsidRPr="00640734">
        <w:rPr>
          <w:rFonts w:ascii="Calibri" w:hAnsi="Calibri"/>
          <w:sz w:val="22"/>
          <w:szCs w:val="22"/>
        </w:rPr>
        <w:t xml:space="preserve">Clarification / Corrective Action Requests </w:t>
      </w:r>
      <w:r w:rsidR="005D6076" w:rsidRPr="00640734">
        <w:rPr>
          <w:rFonts w:ascii="Calibri" w:hAnsi="Calibri"/>
          <w:sz w:val="22"/>
          <w:szCs w:val="22"/>
        </w:rPr>
        <w:t xml:space="preserve">or approval </w:t>
      </w:r>
      <w:r w:rsidR="005F69BA" w:rsidRPr="00640734">
        <w:rPr>
          <w:rFonts w:ascii="Calibri" w:hAnsi="Calibri"/>
          <w:sz w:val="22"/>
          <w:szCs w:val="22"/>
        </w:rPr>
        <w:t xml:space="preserve">for </w:t>
      </w:r>
      <w:r w:rsidR="005D6076" w:rsidRPr="00640734">
        <w:rPr>
          <w:rFonts w:ascii="Calibri" w:hAnsi="Calibri"/>
          <w:sz w:val="22"/>
          <w:szCs w:val="22"/>
        </w:rPr>
        <w:t>the project</w:t>
      </w:r>
      <w:r w:rsidR="005F69BA" w:rsidRPr="00640734">
        <w:rPr>
          <w:rFonts w:ascii="Calibri" w:hAnsi="Calibri"/>
          <w:sz w:val="22"/>
          <w:szCs w:val="22"/>
        </w:rPr>
        <w:t xml:space="preserve"> ‘Listing’</w:t>
      </w:r>
      <w:r w:rsidR="005D6076" w:rsidRPr="00640734">
        <w:rPr>
          <w:rFonts w:ascii="Calibri" w:hAnsi="Calibri"/>
          <w:sz w:val="22"/>
          <w:szCs w:val="22"/>
        </w:rPr>
        <w:t>.</w:t>
      </w:r>
    </w:p>
    <w:p w14:paraId="373DD66C" w14:textId="77777777" w:rsidR="00C66B1C" w:rsidRDefault="00C66B1C" w:rsidP="009416CF">
      <w:pPr>
        <w:spacing w:after="0"/>
        <w:rPr>
          <w:rFonts w:ascii="Calibri" w:hAnsi="Calibri"/>
          <w:sz w:val="22"/>
          <w:szCs w:val="22"/>
        </w:rPr>
      </w:pPr>
    </w:p>
    <w:p w14:paraId="446E729A" w14:textId="49904887" w:rsidR="00C66B1C" w:rsidRDefault="00C66B1C" w:rsidP="009416CF">
      <w:pPr>
        <w:spacing w:after="0"/>
        <w:rPr>
          <w:rFonts w:ascii="Calibri" w:hAnsi="Calibri"/>
          <w:sz w:val="22"/>
          <w:szCs w:val="22"/>
        </w:rPr>
      </w:pPr>
      <w:r>
        <w:rPr>
          <w:rFonts w:ascii="Calibri" w:hAnsi="Calibri"/>
          <w:sz w:val="22"/>
          <w:szCs w:val="22"/>
        </w:rPr>
        <w:t xml:space="preserve">For retroactive projects the regulatory body/DNA shall be notified of the voluntary project prior to commencement of Registration Review.  For regular cycle projects the regulatory body/DNA shall be notified during the LSC process.  </w:t>
      </w:r>
    </w:p>
    <w:p w14:paraId="21C2CF1D" w14:textId="77777777" w:rsidR="00C66B1C" w:rsidRDefault="00C66B1C" w:rsidP="009416CF">
      <w:pPr>
        <w:spacing w:after="0"/>
        <w:rPr>
          <w:rFonts w:ascii="Calibri" w:hAnsi="Calibri"/>
          <w:sz w:val="22"/>
          <w:szCs w:val="22"/>
        </w:rPr>
      </w:pPr>
    </w:p>
    <w:p w14:paraId="779B48AF" w14:textId="77777777" w:rsidR="0074065D" w:rsidRDefault="00C66B1C" w:rsidP="009416CF">
      <w:pPr>
        <w:spacing w:after="0"/>
        <w:rPr>
          <w:rFonts w:ascii="Calibri" w:hAnsi="Calibri"/>
          <w:sz w:val="22"/>
          <w:szCs w:val="22"/>
        </w:rPr>
      </w:pPr>
      <w:r>
        <w:rPr>
          <w:rFonts w:ascii="Calibri" w:hAnsi="Calibri"/>
          <w:sz w:val="22"/>
          <w:szCs w:val="22"/>
        </w:rPr>
        <w:t>Any comments raised by such bodies in response to notifications shall be fully and satisfactorily addressed prior to Listing/Registration.  Gold Standard reserves the right to reject project Listing or Registration should the host/DNA/Regulatory body object to project on the basis of potential Double Counting risks.</w:t>
      </w:r>
    </w:p>
    <w:p w14:paraId="0CC94583" w14:textId="77777777" w:rsidR="0074065D" w:rsidRDefault="0074065D" w:rsidP="009416CF">
      <w:pPr>
        <w:spacing w:after="0"/>
        <w:rPr>
          <w:rFonts w:ascii="Calibri" w:hAnsi="Calibri"/>
          <w:sz w:val="22"/>
          <w:szCs w:val="22"/>
        </w:rPr>
      </w:pPr>
    </w:p>
    <w:p w14:paraId="379D395E" w14:textId="0A796842" w:rsidR="00DA0A32" w:rsidRPr="00640734" w:rsidRDefault="0074065D" w:rsidP="009416CF">
      <w:pPr>
        <w:spacing w:after="0"/>
        <w:rPr>
          <w:rFonts w:ascii="Calibri" w:hAnsi="Calibri"/>
          <w:sz w:val="22"/>
          <w:szCs w:val="22"/>
        </w:rPr>
      </w:pPr>
      <w:r>
        <w:rPr>
          <w:rFonts w:ascii="Calibri" w:hAnsi="Calibri"/>
          <w:sz w:val="22"/>
          <w:szCs w:val="22"/>
        </w:rPr>
        <w:t>Should a regulatory scheme be proposed/commence development during the project crediting period the Project Owner/Developer shall notify the host/DNA or any newly formed regulatory body of the presence of their voluntary project in the jurisdiction and th</w:t>
      </w:r>
      <w:r w:rsidR="005C49C5">
        <w:rPr>
          <w:rFonts w:ascii="Calibri" w:hAnsi="Calibri"/>
          <w:sz w:val="22"/>
          <w:szCs w:val="22"/>
        </w:rPr>
        <w:t>at</w:t>
      </w:r>
      <w:r>
        <w:rPr>
          <w:rFonts w:ascii="Calibri" w:hAnsi="Calibri"/>
          <w:sz w:val="22"/>
          <w:szCs w:val="22"/>
        </w:rPr>
        <w:t xml:space="preserve"> steps should be take</w:t>
      </w:r>
      <w:r w:rsidR="005C49C5">
        <w:rPr>
          <w:rFonts w:ascii="Calibri" w:hAnsi="Calibri"/>
          <w:sz w:val="22"/>
          <w:szCs w:val="22"/>
        </w:rPr>
        <w:t>n</w:t>
      </w:r>
      <w:r>
        <w:rPr>
          <w:rFonts w:ascii="Calibri" w:hAnsi="Calibri"/>
          <w:sz w:val="22"/>
          <w:szCs w:val="22"/>
        </w:rPr>
        <w:t xml:space="preserve"> to avoid Double Counting on the regulatory side.</w:t>
      </w:r>
      <w:r w:rsidR="009416CF" w:rsidRPr="00640734">
        <w:rPr>
          <w:rFonts w:ascii="Calibri" w:hAnsi="Calibri"/>
          <w:sz w:val="22"/>
          <w:szCs w:val="22"/>
        </w:rPr>
        <w:br/>
      </w:r>
      <w:r w:rsidR="009416CF" w:rsidRPr="00640734">
        <w:rPr>
          <w:rFonts w:ascii="Calibri" w:hAnsi="Calibri"/>
          <w:sz w:val="22"/>
          <w:szCs w:val="22"/>
        </w:rPr>
        <w:br/>
      </w:r>
      <w:r w:rsidR="005D6076" w:rsidRPr="00640734">
        <w:rPr>
          <w:rFonts w:ascii="Calibri" w:hAnsi="Calibri"/>
          <w:sz w:val="22"/>
          <w:szCs w:val="22"/>
        </w:rPr>
        <w:t xml:space="preserve">Note, that in </w:t>
      </w:r>
      <w:r w:rsidR="009416CF" w:rsidRPr="00640734">
        <w:rPr>
          <w:rFonts w:ascii="Calibri" w:hAnsi="Calibri"/>
          <w:sz w:val="22"/>
          <w:szCs w:val="22"/>
        </w:rPr>
        <w:t xml:space="preserve">case the project owner </w:t>
      </w:r>
      <w:r w:rsidR="005F69BA" w:rsidRPr="00640734">
        <w:rPr>
          <w:rFonts w:ascii="Calibri" w:hAnsi="Calibri"/>
          <w:sz w:val="22"/>
          <w:szCs w:val="22"/>
        </w:rPr>
        <w:t>has to follow Scenario</w:t>
      </w:r>
      <w:r w:rsidR="009416CF" w:rsidRPr="00640734">
        <w:rPr>
          <w:rFonts w:ascii="Calibri" w:hAnsi="Calibri"/>
          <w:sz w:val="22"/>
          <w:szCs w:val="22"/>
        </w:rPr>
        <w:t xml:space="preserve"> 2, the Gold Standard does NOT require the project owner to cancel the respective amount of </w:t>
      </w:r>
      <w:r w:rsidR="009416CF" w:rsidRPr="00640734">
        <w:rPr>
          <w:rFonts w:ascii="Calibri" w:eastAsia="Calibri" w:hAnsi="Calibri" w:cs="Calibri"/>
          <w:i/>
          <w:sz w:val="22"/>
          <w:szCs w:val="22"/>
        </w:rPr>
        <w:t>Eligible Cancellation Units</w:t>
      </w:r>
      <w:r w:rsidR="009416CF" w:rsidRPr="00640734">
        <w:rPr>
          <w:rFonts w:ascii="Calibri" w:hAnsi="Calibri"/>
          <w:sz w:val="22"/>
          <w:szCs w:val="22"/>
        </w:rPr>
        <w:t xml:space="preserve"> at the beginning of </w:t>
      </w:r>
      <w:r w:rsidR="005F69BA" w:rsidRPr="00640734">
        <w:rPr>
          <w:rFonts w:ascii="Calibri" w:hAnsi="Calibri"/>
          <w:sz w:val="22"/>
          <w:szCs w:val="22"/>
        </w:rPr>
        <w:t>Gold Standard application process</w:t>
      </w:r>
      <w:r w:rsidR="009416CF" w:rsidRPr="00640734">
        <w:rPr>
          <w:rFonts w:ascii="Calibri" w:hAnsi="Calibri"/>
          <w:sz w:val="22"/>
          <w:szCs w:val="22"/>
        </w:rPr>
        <w:t>. It is recommended to wait until the final amount of Gold Standard VER</w:t>
      </w:r>
      <w:r w:rsidR="009416CF" w:rsidRPr="00640734">
        <w:rPr>
          <w:rFonts w:ascii="Calibri" w:eastAsia="Calibri" w:hAnsi="Calibri" w:cs="Calibri"/>
          <w:sz w:val="22"/>
          <w:szCs w:val="22"/>
        </w:rPr>
        <w:t>/CO</w:t>
      </w:r>
      <w:r w:rsidR="009416CF" w:rsidRPr="00640734">
        <w:rPr>
          <w:rFonts w:ascii="Calibri" w:eastAsia="Calibri" w:hAnsi="Calibri" w:cs="Calibri"/>
          <w:sz w:val="18"/>
          <w:szCs w:val="22"/>
        </w:rPr>
        <w:t>2</w:t>
      </w:r>
      <w:r w:rsidR="009416CF" w:rsidRPr="00640734">
        <w:rPr>
          <w:rFonts w:ascii="Calibri" w:eastAsia="Calibri" w:hAnsi="Calibri" w:cs="Calibri"/>
          <w:sz w:val="22"/>
          <w:szCs w:val="22"/>
        </w:rPr>
        <w:t xml:space="preserve">-certificates has been confirmed by the audit report. </w:t>
      </w:r>
      <w:r w:rsidR="005F69BA" w:rsidRPr="00640734">
        <w:rPr>
          <w:rFonts w:ascii="Calibri" w:eastAsia="Calibri" w:hAnsi="Calibri" w:cs="Calibri"/>
          <w:sz w:val="22"/>
          <w:szCs w:val="22"/>
        </w:rPr>
        <w:t>B</w:t>
      </w:r>
      <w:r w:rsidR="009416CF" w:rsidRPr="00640734">
        <w:rPr>
          <w:rFonts w:ascii="Calibri" w:eastAsia="Calibri" w:hAnsi="Calibri" w:cs="Calibri"/>
          <w:sz w:val="22"/>
          <w:szCs w:val="22"/>
        </w:rPr>
        <w:t xml:space="preserve">efore issuance </w:t>
      </w:r>
      <w:r w:rsidR="005D6076" w:rsidRPr="00640734">
        <w:rPr>
          <w:rFonts w:ascii="Calibri" w:hAnsi="Calibri"/>
          <w:sz w:val="22"/>
          <w:szCs w:val="22"/>
        </w:rPr>
        <w:t>of Gold Standard VER</w:t>
      </w:r>
      <w:r w:rsidR="005D6076" w:rsidRPr="00640734">
        <w:rPr>
          <w:rFonts w:ascii="Calibri" w:eastAsia="Calibri" w:hAnsi="Calibri" w:cs="Calibri"/>
          <w:sz w:val="22"/>
          <w:szCs w:val="22"/>
        </w:rPr>
        <w:t>/CO</w:t>
      </w:r>
      <w:r w:rsidR="005D6076" w:rsidRPr="00640734">
        <w:rPr>
          <w:rFonts w:ascii="Calibri" w:eastAsia="Calibri" w:hAnsi="Calibri" w:cs="Calibri"/>
          <w:sz w:val="18"/>
          <w:szCs w:val="22"/>
        </w:rPr>
        <w:t>2</w:t>
      </w:r>
      <w:r w:rsidR="005D6076" w:rsidRPr="00640734">
        <w:rPr>
          <w:rFonts w:ascii="Calibri" w:eastAsia="Calibri" w:hAnsi="Calibri" w:cs="Calibri"/>
          <w:sz w:val="22"/>
          <w:szCs w:val="22"/>
        </w:rPr>
        <w:t xml:space="preserve">-certificates </w:t>
      </w:r>
      <w:r w:rsidR="009416CF" w:rsidRPr="00640734">
        <w:rPr>
          <w:rFonts w:ascii="Calibri" w:eastAsia="Calibri" w:hAnsi="Calibri" w:cs="Calibri"/>
          <w:sz w:val="22"/>
          <w:szCs w:val="22"/>
        </w:rPr>
        <w:t xml:space="preserve">takes place evidence on the cancellation shall be provided. </w:t>
      </w:r>
    </w:p>
    <w:p w14:paraId="2C93FB32" w14:textId="77777777" w:rsidR="004325FC" w:rsidRDefault="004325FC" w:rsidP="006E5C5F">
      <w:pPr>
        <w:spacing w:after="0"/>
        <w:rPr>
          <w:rFonts w:ascii="Calibri" w:hAnsi="Calibri"/>
          <w:sz w:val="22"/>
          <w:szCs w:val="22"/>
        </w:rPr>
      </w:pPr>
    </w:p>
    <w:p w14:paraId="1CC017A8" w14:textId="77777777" w:rsidR="004325FC" w:rsidRDefault="004325FC" w:rsidP="006E5C5F">
      <w:pPr>
        <w:spacing w:after="0"/>
        <w:rPr>
          <w:rFonts w:ascii="Calibri" w:hAnsi="Calibri"/>
          <w:sz w:val="22"/>
          <w:szCs w:val="22"/>
        </w:rPr>
      </w:pPr>
    </w:p>
    <w:p w14:paraId="6D611CA5" w14:textId="0E0FE1C5" w:rsidR="00060AB7" w:rsidRPr="00EC52A2" w:rsidRDefault="00060AB7" w:rsidP="005F69BA">
      <w:pPr>
        <w:pStyle w:val="Normal1"/>
        <w:numPr>
          <w:ilvl w:val="0"/>
          <w:numId w:val="1"/>
        </w:numPr>
        <w:spacing w:after="0"/>
        <w:contextualSpacing w:val="0"/>
        <w:rPr>
          <w:rFonts w:ascii="Calibri" w:hAnsi="Calibri"/>
          <w:sz w:val="22"/>
          <w:szCs w:val="22"/>
        </w:rPr>
      </w:pPr>
      <w:r w:rsidRPr="00EC52A2">
        <w:rPr>
          <w:rFonts w:ascii="Calibri" w:hAnsi="Calibri"/>
          <w:b/>
          <w:sz w:val="22"/>
          <w:szCs w:val="22"/>
        </w:rPr>
        <w:t xml:space="preserve">IMPLICATIONS </w:t>
      </w:r>
    </w:p>
    <w:p w14:paraId="13CCE387" w14:textId="1CAAE4E0" w:rsidR="002A328B" w:rsidRPr="002A328B" w:rsidRDefault="002A328B" w:rsidP="002A328B">
      <w:pPr>
        <w:pStyle w:val="Normal1"/>
        <w:spacing w:after="0"/>
        <w:contextualSpacing w:val="0"/>
        <w:rPr>
          <w:rFonts w:ascii="Calibri" w:hAnsi="Calibri"/>
          <w:sz w:val="22"/>
          <w:szCs w:val="22"/>
        </w:rPr>
      </w:pPr>
    </w:p>
    <w:p w14:paraId="5639A88B" w14:textId="23B19C8E" w:rsidR="002A328B" w:rsidRPr="009416CF" w:rsidRDefault="002A328B" w:rsidP="002A328B">
      <w:pPr>
        <w:pStyle w:val="Normal1"/>
        <w:spacing w:after="0"/>
        <w:contextualSpacing w:val="0"/>
        <w:rPr>
          <w:rFonts w:ascii="Calibri" w:hAnsi="Calibri"/>
          <w:b/>
          <w:sz w:val="22"/>
          <w:szCs w:val="22"/>
        </w:rPr>
      </w:pPr>
      <w:r w:rsidRPr="009416CF">
        <w:rPr>
          <w:rFonts w:ascii="Calibri" w:hAnsi="Calibri"/>
          <w:b/>
          <w:sz w:val="22"/>
          <w:szCs w:val="22"/>
        </w:rPr>
        <w:t xml:space="preserve">Implications for Project </w:t>
      </w:r>
      <w:r>
        <w:rPr>
          <w:rFonts w:ascii="Calibri" w:hAnsi="Calibri"/>
          <w:b/>
          <w:sz w:val="22"/>
          <w:szCs w:val="22"/>
        </w:rPr>
        <w:t>Owners</w:t>
      </w:r>
    </w:p>
    <w:p w14:paraId="7D03BF40" w14:textId="34A8AE0A" w:rsidR="002A328B" w:rsidRPr="00EC52A2" w:rsidRDefault="002A328B" w:rsidP="002A328B">
      <w:pPr>
        <w:pStyle w:val="Normal1"/>
        <w:spacing w:after="0"/>
        <w:contextualSpacing w:val="0"/>
        <w:rPr>
          <w:rFonts w:ascii="Calibri" w:hAnsi="Calibri"/>
          <w:sz w:val="22"/>
          <w:szCs w:val="22"/>
        </w:rPr>
      </w:pPr>
      <w:r w:rsidRPr="00EC52A2">
        <w:rPr>
          <w:rFonts w:ascii="Calibri" w:hAnsi="Calibri"/>
          <w:sz w:val="22"/>
          <w:szCs w:val="22"/>
        </w:rPr>
        <w:t xml:space="preserve">The implication for </w:t>
      </w:r>
      <w:r>
        <w:rPr>
          <w:rFonts w:ascii="Calibri" w:hAnsi="Calibri"/>
          <w:sz w:val="22"/>
          <w:szCs w:val="22"/>
        </w:rPr>
        <w:t>p</w:t>
      </w:r>
      <w:r w:rsidRPr="00EC52A2">
        <w:rPr>
          <w:rFonts w:ascii="Calibri" w:hAnsi="Calibri"/>
          <w:sz w:val="22"/>
          <w:szCs w:val="22"/>
        </w:rPr>
        <w:t xml:space="preserve">roject </w:t>
      </w:r>
      <w:r>
        <w:rPr>
          <w:rFonts w:ascii="Calibri" w:hAnsi="Calibri"/>
          <w:sz w:val="22"/>
          <w:szCs w:val="22"/>
        </w:rPr>
        <w:t>owners</w:t>
      </w:r>
      <w:r w:rsidRPr="00EC52A2">
        <w:rPr>
          <w:rFonts w:ascii="Calibri" w:hAnsi="Calibri"/>
          <w:sz w:val="22"/>
          <w:szCs w:val="22"/>
        </w:rPr>
        <w:t xml:space="preserve"> is</w:t>
      </w:r>
      <w:proofErr w:type="gramStart"/>
      <w:r>
        <w:rPr>
          <w:rFonts w:ascii="Calibri" w:hAnsi="Calibri"/>
          <w:sz w:val="22"/>
          <w:szCs w:val="22"/>
        </w:rPr>
        <w:t>,</w:t>
      </w:r>
      <w:proofErr w:type="gramEnd"/>
      <w:r>
        <w:rPr>
          <w:rFonts w:ascii="Calibri" w:hAnsi="Calibri"/>
          <w:sz w:val="22"/>
          <w:szCs w:val="22"/>
        </w:rPr>
        <w:t xml:space="preserve"> if they are at all affected by the topic of ‘Double Counting’</w:t>
      </w:r>
      <w:r w:rsidR="005F69BA">
        <w:rPr>
          <w:rFonts w:ascii="Calibri" w:hAnsi="Calibri"/>
          <w:sz w:val="22"/>
          <w:szCs w:val="22"/>
        </w:rPr>
        <w:t>,</w:t>
      </w:r>
      <w:r>
        <w:rPr>
          <w:rFonts w:ascii="Calibri" w:hAnsi="Calibri"/>
          <w:sz w:val="22"/>
          <w:szCs w:val="22"/>
        </w:rPr>
        <w:t xml:space="preserve"> </w:t>
      </w:r>
      <w:r w:rsidRPr="00EC52A2">
        <w:rPr>
          <w:rFonts w:ascii="Calibri" w:hAnsi="Calibri"/>
          <w:sz w:val="22"/>
          <w:szCs w:val="22"/>
        </w:rPr>
        <w:t>the</w:t>
      </w:r>
      <w:r w:rsidR="005F69BA">
        <w:rPr>
          <w:rFonts w:ascii="Calibri" w:hAnsi="Calibri"/>
          <w:sz w:val="22"/>
          <w:szCs w:val="22"/>
        </w:rPr>
        <w:t>re could be</w:t>
      </w:r>
      <w:r w:rsidRPr="00EC52A2">
        <w:rPr>
          <w:rFonts w:ascii="Calibri" w:hAnsi="Calibri"/>
          <w:sz w:val="22"/>
          <w:szCs w:val="22"/>
        </w:rPr>
        <w:t xml:space="preserve"> </w:t>
      </w:r>
      <w:r w:rsidRPr="00EC52A2">
        <w:rPr>
          <w:rFonts w:ascii="Calibri" w:hAnsi="Calibri"/>
          <w:sz w:val="22"/>
          <w:szCs w:val="22"/>
        </w:rPr>
        <w:lastRenderedPageBreak/>
        <w:t xml:space="preserve">additional cost to purchase and retire </w:t>
      </w:r>
      <w:r w:rsidRPr="009416CF">
        <w:rPr>
          <w:rFonts w:ascii="Calibri" w:hAnsi="Calibri"/>
          <w:i/>
          <w:sz w:val="22"/>
          <w:szCs w:val="22"/>
        </w:rPr>
        <w:t>Eligible Cancellation Units</w:t>
      </w:r>
      <w:r w:rsidRPr="00EC52A2">
        <w:rPr>
          <w:rFonts w:ascii="Calibri" w:hAnsi="Calibri"/>
          <w:sz w:val="22"/>
          <w:szCs w:val="22"/>
        </w:rPr>
        <w:t xml:space="preserve"> as part of the G</w:t>
      </w:r>
      <w:r>
        <w:rPr>
          <w:rFonts w:ascii="Calibri" w:hAnsi="Calibri"/>
          <w:sz w:val="22"/>
          <w:szCs w:val="22"/>
        </w:rPr>
        <w:t>old Standard</w:t>
      </w:r>
      <w:r w:rsidRPr="00EC52A2">
        <w:rPr>
          <w:rFonts w:ascii="Calibri" w:hAnsi="Calibri"/>
          <w:sz w:val="22"/>
          <w:szCs w:val="22"/>
        </w:rPr>
        <w:t xml:space="preserve"> VER</w:t>
      </w:r>
      <w:r>
        <w:rPr>
          <w:rFonts w:ascii="Calibri" w:hAnsi="Calibri"/>
          <w:sz w:val="22"/>
          <w:szCs w:val="22"/>
        </w:rPr>
        <w:t>s</w:t>
      </w:r>
      <w:r w:rsidRPr="00EC52A2">
        <w:rPr>
          <w:rFonts w:ascii="Calibri" w:eastAsia="Calibri" w:hAnsi="Calibri" w:cs="Calibri"/>
          <w:sz w:val="22"/>
          <w:szCs w:val="22"/>
        </w:rPr>
        <w:t>/CO</w:t>
      </w:r>
      <w:r w:rsidRPr="00EC52A2">
        <w:rPr>
          <w:rFonts w:ascii="Calibri" w:eastAsia="Calibri" w:hAnsi="Calibri" w:cs="Calibri"/>
          <w:sz w:val="18"/>
          <w:szCs w:val="22"/>
        </w:rPr>
        <w:t>2</w:t>
      </w:r>
      <w:r w:rsidRPr="00EC52A2">
        <w:rPr>
          <w:rFonts w:ascii="Calibri" w:eastAsia="Calibri" w:hAnsi="Calibri" w:cs="Calibri"/>
          <w:sz w:val="22"/>
          <w:szCs w:val="22"/>
        </w:rPr>
        <w:t>-certificates</w:t>
      </w:r>
      <w:r w:rsidRPr="00EC52A2">
        <w:rPr>
          <w:rFonts w:ascii="Calibri" w:hAnsi="Calibri"/>
          <w:sz w:val="22"/>
          <w:szCs w:val="22"/>
        </w:rPr>
        <w:t xml:space="preserve"> issuance process</w:t>
      </w:r>
      <w:r>
        <w:rPr>
          <w:rFonts w:ascii="Calibri" w:hAnsi="Calibri"/>
          <w:sz w:val="22"/>
          <w:szCs w:val="22"/>
        </w:rPr>
        <w:t xml:space="preserve"> (</w:t>
      </w:r>
      <w:r w:rsidR="005F69BA">
        <w:rPr>
          <w:rFonts w:ascii="Calibri" w:hAnsi="Calibri"/>
          <w:sz w:val="22"/>
          <w:szCs w:val="22"/>
        </w:rPr>
        <w:t xml:space="preserve">Scenario </w:t>
      </w:r>
      <w:r>
        <w:rPr>
          <w:rFonts w:ascii="Calibri" w:hAnsi="Calibri"/>
          <w:sz w:val="22"/>
          <w:szCs w:val="22"/>
        </w:rPr>
        <w:t>2)</w:t>
      </w:r>
      <w:r w:rsidRPr="00EC52A2">
        <w:rPr>
          <w:rFonts w:ascii="Calibri" w:hAnsi="Calibri"/>
          <w:sz w:val="22"/>
          <w:szCs w:val="22"/>
        </w:rPr>
        <w:t>.  Conversely this mechanism protects the credibility of G</w:t>
      </w:r>
      <w:r>
        <w:rPr>
          <w:rFonts w:ascii="Calibri" w:hAnsi="Calibri"/>
          <w:sz w:val="22"/>
          <w:szCs w:val="22"/>
        </w:rPr>
        <w:t>old Standard</w:t>
      </w:r>
      <w:r w:rsidRPr="00EC52A2">
        <w:rPr>
          <w:rFonts w:ascii="Calibri" w:hAnsi="Calibri"/>
          <w:sz w:val="22"/>
          <w:szCs w:val="22"/>
        </w:rPr>
        <w:t xml:space="preserve"> VER</w:t>
      </w:r>
      <w:r>
        <w:rPr>
          <w:rFonts w:ascii="Calibri" w:hAnsi="Calibri"/>
          <w:sz w:val="22"/>
          <w:szCs w:val="22"/>
        </w:rPr>
        <w:t>s</w:t>
      </w:r>
      <w:r w:rsidRPr="00EC52A2">
        <w:rPr>
          <w:rFonts w:ascii="Calibri" w:eastAsia="Calibri" w:hAnsi="Calibri" w:cs="Calibri"/>
          <w:sz w:val="22"/>
          <w:szCs w:val="22"/>
        </w:rPr>
        <w:t>/CO</w:t>
      </w:r>
      <w:r w:rsidRPr="00EC52A2">
        <w:rPr>
          <w:rFonts w:ascii="Calibri" w:eastAsia="Calibri" w:hAnsi="Calibri" w:cs="Calibri"/>
          <w:sz w:val="18"/>
          <w:szCs w:val="22"/>
        </w:rPr>
        <w:t>2</w:t>
      </w:r>
      <w:r w:rsidRPr="00EC52A2">
        <w:rPr>
          <w:rFonts w:ascii="Calibri" w:eastAsia="Calibri" w:hAnsi="Calibri" w:cs="Calibri"/>
          <w:sz w:val="22"/>
          <w:szCs w:val="22"/>
        </w:rPr>
        <w:t>-certificates</w:t>
      </w:r>
      <w:r w:rsidRPr="00EC52A2">
        <w:rPr>
          <w:rFonts w:ascii="Calibri" w:hAnsi="Calibri"/>
          <w:sz w:val="22"/>
          <w:szCs w:val="22"/>
        </w:rPr>
        <w:t xml:space="preserve"> to the benefit of all </w:t>
      </w:r>
      <w:r>
        <w:rPr>
          <w:rFonts w:ascii="Calibri" w:hAnsi="Calibri"/>
          <w:sz w:val="22"/>
          <w:szCs w:val="22"/>
        </w:rPr>
        <w:t>p</w:t>
      </w:r>
      <w:r w:rsidRPr="00EC52A2">
        <w:rPr>
          <w:rFonts w:ascii="Calibri" w:hAnsi="Calibri"/>
          <w:sz w:val="22"/>
          <w:szCs w:val="22"/>
        </w:rPr>
        <w:t xml:space="preserve">roject </w:t>
      </w:r>
      <w:r>
        <w:rPr>
          <w:rFonts w:ascii="Calibri" w:hAnsi="Calibri"/>
          <w:sz w:val="22"/>
          <w:szCs w:val="22"/>
        </w:rPr>
        <w:t>owners</w:t>
      </w:r>
      <w:r w:rsidRPr="00EC52A2">
        <w:rPr>
          <w:rFonts w:ascii="Calibri" w:hAnsi="Calibri"/>
          <w:sz w:val="22"/>
          <w:szCs w:val="22"/>
        </w:rPr>
        <w:t>.</w:t>
      </w:r>
    </w:p>
    <w:p w14:paraId="31190173" w14:textId="77777777" w:rsidR="002A328B" w:rsidRDefault="002A328B" w:rsidP="006E5C5F">
      <w:pPr>
        <w:pStyle w:val="Normal1"/>
        <w:spacing w:after="0"/>
        <w:contextualSpacing w:val="0"/>
        <w:rPr>
          <w:rFonts w:ascii="Calibri" w:hAnsi="Calibri"/>
          <w:b/>
          <w:sz w:val="22"/>
          <w:szCs w:val="22"/>
        </w:rPr>
      </w:pPr>
    </w:p>
    <w:p w14:paraId="7DC81E82" w14:textId="69B86BCC" w:rsidR="00492D60" w:rsidRPr="009416CF" w:rsidRDefault="00492D60" w:rsidP="006E5C5F">
      <w:pPr>
        <w:pStyle w:val="Normal1"/>
        <w:spacing w:after="0"/>
        <w:contextualSpacing w:val="0"/>
        <w:rPr>
          <w:rFonts w:ascii="Calibri" w:hAnsi="Calibri"/>
          <w:b/>
          <w:sz w:val="22"/>
          <w:szCs w:val="22"/>
        </w:rPr>
      </w:pPr>
      <w:r w:rsidRPr="009416CF">
        <w:rPr>
          <w:rFonts w:ascii="Calibri" w:hAnsi="Calibri"/>
          <w:b/>
          <w:sz w:val="22"/>
          <w:szCs w:val="22"/>
        </w:rPr>
        <w:t xml:space="preserve">Implications </w:t>
      </w:r>
      <w:r w:rsidR="00747377" w:rsidRPr="009416CF">
        <w:rPr>
          <w:rFonts w:ascii="Calibri" w:hAnsi="Calibri"/>
          <w:b/>
          <w:sz w:val="22"/>
          <w:szCs w:val="22"/>
        </w:rPr>
        <w:t xml:space="preserve">for </w:t>
      </w:r>
      <w:r w:rsidRPr="009416CF">
        <w:rPr>
          <w:rFonts w:ascii="Calibri" w:hAnsi="Calibri"/>
          <w:b/>
          <w:sz w:val="22"/>
          <w:szCs w:val="22"/>
        </w:rPr>
        <w:t>Auditors</w:t>
      </w:r>
    </w:p>
    <w:p w14:paraId="758A94EE" w14:textId="67409D32" w:rsidR="003D2340" w:rsidRPr="009416CF" w:rsidRDefault="003D2340" w:rsidP="009416CF">
      <w:pPr>
        <w:spacing w:after="0"/>
        <w:rPr>
          <w:rFonts w:ascii="Calibri" w:eastAsia="Calibri" w:hAnsi="Calibri" w:cs="Calibri"/>
          <w:sz w:val="22"/>
          <w:szCs w:val="22"/>
        </w:rPr>
      </w:pPr>
      <w:r w:rsidRPr="009416CF">
        <w:rPr>
          <w:rFonts w:ascii="Calibri" w:hAnsi="Calibri"/>
          <w:sz w:val="22"/>
          <w:szCs w:val="22"/>
        </w:rPr>
        <w:t xml:space="preserve">Increased </w:t>
      </w:r>
      <w:r w:rsidR="002A328B" w:rsidRPr="009416CF">
        <w:rPr>
          <w:rFonts w:ascii="Calibri" w:hAnsi="Calibri"/>
          <w:sz w:val="22"/>
          <w:szCs w:val="22"/>
        </w:rPr>
        <w:t xml:space="preserve">Gold Standard </w:t>
      </w:r>
      <w:r w:rsidRPr="009416CF">
        <w:rPr>
          <w:rFonts w:ascii="Calibri" w:hAnsi="Calibri"/>
          <w:sz w:val="22"/>
          <w:szCs w:val="22"/>
        </w:rPr>
        <w:t xml:space="preserve">project activities in </w:t>
      </w:r>
      <w:r w:rsidR="002A328B" w:rsidRPr="009416CF">
        <w:rPr>
          <w:rFonts w:ascii="Calibri" w:hAnsi="Calibri"/>
          <w:sz w:val="22"/>
          <w:szCs w:val="22"/>
        </w:rPr>
        <w:t xml:space="preserve">countries and regions with </w:t>
      </w:r>
      <w:r w:rsidR="002A328B" w:rsidRPr="009416CF">
        <w:rPr>
          <w:rFonts w:ascii="Calibri" w:eastAsia="Calibri" w:hAnsi="Calibri" w:cs="Calibri"/>
          <w:sz w:val="22"/>
          <w:szCs w:val="22"/>
        </w:rPr>
        <w:t>GHG Emissions Trading Scheme</w:t>
      </w:r>
      <w:r w:rsidRPr="009416CF">
        <w:rPr>
          <w:rFonts w:ascii="Calibri" w:hAnsi="Calibri"/>
          <w:sz w:val="22"/>
          <w:szCs w:val="22"/>
        </w:rPr>
        <w:t xml:space="preserve"> will increase commercial opportunities for </w:t>
      </w:r>
      <w:r w:rsidR="002A328B" w:rsidRPr="009416CF">
        <w:rPr>
          <w:rFonts w:ascii="Calibri" w:hAnsi="Calibri"/>
          <w:sz w:val="22"/>
          <w:szCs w:val="22"/>
        </w:rPr>
        <w:t>G</w:t>
      </w:r>
      <w:r w:rsidR="002A328B">
        <w:rPr>
          <w:rFonts w:ascii="Calibri" w:hAnsi="Calibri"/>
          <w:sz w:val="22"/>
          <w:szCs w:val="22"/>
        </w:rPr>
        <w:t>old Standard</w:t>
      </w:r>
      <w:r w:rsidR="002A328B" w:rsidRPr="009416CF">
        <w:rPr>
          <w:rFonts w:ascii="Calibri" w:hAnsi="Calibri"/>
          <w:sz w:val="22"/>
          <w:szCs w:val="22"/>
        </w:rPr>
        <w:t xml:space="preserve"> </w:t>
      </w:r>
      <w:r w:rsidR="002A328B">
        <w:rPr>
          <w:rFonts w:ascii="Calibri" w:hAnsi="Calibri"/>
          <w:sz w:val="22"/>
          <w:szCs w:val="22"/>
        </w:rPr>
        <w:t>a</w:t>
      </w:r>
      <w:r w:rsidR="002A328B" w:rsidRPr="009416CF">
        <w:rPr>
          <w:rFonts w:ascii="Calibri" w:hAnsi="Calibri"/>
          <w:sz w:val="22"/>
          <w:szCs w:val="22"/>
        </w:rPr>
        <w:t xml:space="preserve">uditors </w:t>
      </w:r>
      <w:r w:rsidRPr="009416CF">
        <w:rPr>
          <w:rFonts w:ascii="Calibri" w:hAnsi="Calibri"/>
          <w:sz w:val="22"/>
          <w:szCs w:val="22"/>
        </w:rPr>
        <w:t xml:space="preserve">outside of the traditional </w:t>
      </w:r>
      <w:r w:rsidR="002A328B">
        <w:rPr>
          <w:rFonts w:ascii="Calibri" w:hAnsi="Calibri"/>
          <w:sz w:val="22"/>
          <w:szCs w:val="22"/>
        </w:rPr>
        <w:t xml:space="preserve">Gold Standard </w:t>
      </w:r>
      <w:r w:rsidRPr="009416CF">
        <w:rPr>
          <w:rFonts w:ascii="Calibri" w:hAnsi="Calibri"/>
          <w:sz w:val="22"/>
          <w:szCs w:val="22"/>
        </w:rPr>
        <w:t xml:space="preserve">domain. </w:t>
      </w:r>
    </w:p>
    <w:p w14:paraId="4C9FAE3C" w14:textId="77777777" w:rsidR="002A328B" w:rsidRDefault="002A328B" w:rsidP="002A328B">
      <w:pPr>
        <w:pStyle w:val="Normal1"/>
        <w:spacing w:after="0"/>
        <w:contextualSpacing w:val="0"/>
        <w:rPr>
          <w:rFonts w:ascii="Calibri" w:hAnsi="Calibri"/>
          <w:b/>
          <w:sz w:val="22"/>
          <w:szCs w:val="22"/>
        </w:rPr>
      </w:pPr>
    </w:p>
    <w:p w14:paraId="1684DDD3" w14:textId="77777777" w:rsidR="002A328B" w:rsidRPr="009416CF" w:rsidRDefault="002A328B" w:rsidP="002A328B">
      <w:pPr>
        <w:pStyle w:val="Normal1"/>
        <w:spacing w:after="0"/>
        <w:contextualSpacing w:val="0"/>
        <w:rPr>
          <w:rFonts w:ascii="Calibri" w:hAnsi="Calibri"/>
          <w:b/>
          <w:sz w:val="22"/>
          <w:szCs w:val="22"/>
        </w:rPr>
      </w:pPr>
      <w:r w:rsidRPr="009416CF">
        <w:rPr>
          <w:rFonts w:ascii="Calibri" w:hAnsi="Calibri"/>
          <w:b/>
          <w:sz w:val="22"/>
          <w:szCs w:val="22"/>
        </w:rPr>
        <w:t>Implications for Stakeholders</w:t>
      </w:r>
    </w:p>
    <w:p w14:paraId="023E9EBB" w14:textId="75C56177" w:rsidR="002A328B" w:rsidRDefault="002A328B" w:rsidP="002A328B">
      <w:pPr>
        <w:pStyle w:val="Normal1"/>
        <w:spacing w:after="0"/>
        <w:contextualSpacing w:val="0"/>
        <w:rPr>
          <w:rFonts w:ascii="Calibri" w:hAnsi="Calibri"/>
          <w:sz w:val="22"/>
          <w:szCs w:val="22"/>
        </w:rPr>
      </w:pPr>
      <w:r w:rsidRPr="00EC52A2">
        <w:rPr>
          <w:rFonts w:ascii="Calibri" w:hAnsi="Calibri"/>
          <w:sz w:val="22"/>
          <w:szCs w:val="22"/>
        </w:rPr>
        <w:t xml:space="preserve">It is vitally important that Gold Standard maintains and defends its reputation for rigour, transparency and integrity.  While there is no direct impact on stakeholders it is clear that the absence of this rule would adversely affect the standing and market position of the </w:t>
      </w:r>
      <w:r w:rsidR="009701DE">
        <w:rPr>
          <w:rFonts w:ascii="Calibri" w:hAnsi="Calibri"/>
          <w:sz w:val="22"/>
          <w:szCs w:val="22"/>
        </w:rPr>
        <w:t xml:space="preserve">Gold Standard </w:t>
      </w:r>
      <w:r w:rsidRPr="00EC52A2">
        <w:rPr>
          <w:rFonts w:ascii="Calibri" w:hAnsi="Calibri"/>
          <w:sz w:val="22"/>
          <w:szCs w:val="22"/>
        </w:rPr>
        <w:t xml:space="preserve">Foundation.  </w:t>
      </w:r>
    </w:p>
    <w:p w14:paraId="375C0C74" w14:textId="77777777" w:rsidR="002A328B" w:rsidRPr="00EC52A2" w:rsidRDefault="002A328B" w:rsidP="002A328B">
      <w:pPr>
        <w:pStyle w:val="Normal1"/>
        <w:spacing w:after="0"/>
        <w:contextualSpacing w:val="0"/>
        <w:rPr>
          <w:rFonts w:ascii="Calibri" w:hAnsi="Calibri"/>
          <w:sz w:val="22"/>
          <w:szCs w:val="22"/>
        </w:rPr>
      </w:pPr>
    </w:p>
    <w:p w14:paraId="64639D0B" w14:textId="77777777" w:rsidR="002A328B" w:rsidRPr="009416CF" w:rsidRDefault="002A328B" w:rsidP="002A328B">
      <w:pPr>
        <w:pStyle w:val="Normal1"/>
        <w:spacing w:after="0"/>
        <w:contextualSpacing w:val="0"/>
        <w:rPr>
          <w:rFonts w:ascii="Calibri" w:hAnsi="Calibri"/>
          <w:b/>
          <w:sz w:val="22"/>
          <w:szCs w:val="22"/>
        </w:rPr>
      </w:pPr>
      <w:r w:rsidRPr="009416CF">
        <w:rPr>
          <w:rFonts w:ascii="Calibri" w:hAnsi="Calibri"/>
          <w:b/>
          <w:sz w:val="22"/>
          <w:szCs w:val="22"/>
        </w:rPr>
        <w:t>Implications for the Gold Standard</w:t>
      </w:r>
    </w:p>
    <w:p w14:paraId="5C8C945F" w14:textId="5703CCA7" w:rsidR="002A328B" w:rsidRPr="00EC52A2" w:rsidRDefault="002A328B" w:rsidP="002A328B">
      <w:pPr>
        <w:pStyle w:val="Normal1"/>
        <w:spacing w:after="0"/>
        <w:contextualSpacing w:val="0"/>
        <w:rPr>
          <w:rFonts w:ascii="Calibri" w:hAnsi="Calibri"/>
          <w:sz w:val="22"/>
          <w:szCs w:val="22"/>
        </w:rPr>
      </w:pPr>
      <w:r w:rsidRPr="00EC52A2">
        <w:rPr>
          <w:rFonts w:ascii="Calibri" w:hAnsi="Calibri"/>
          <w:sz w:val="22"/>
          <w:szCs w:val="22"/>
        </w:rPr>
        <w:t xml:space="preserve">The current international position and subsequent potential for </w:t>
      </w:r>
      <w:r w:rsidR="009701DE">
        <w:rPr>
          <w:rFonts w:ascii="Calibri" w:hAnsi="Calibri"/>
          <w:sz w:val="22"/>
          <w:szCs w:val="22"/>
        </w:rPr>
        <w:t>‘</w:t>
      </w:r>
      <w:r w:rsidRPr="00EC52A2">
        <w:rPr>
          <w:rFonts w:ascii="Calibri" w:hAnsi="Calibri"/>
          <w:sz w:val="22"/>
          <w:szCs w:val="22"/>
        </w:rPr>
        <w:t>Double Counting</w:t>
      </w:r>
      <w:r w:rsidR="009701DE">
        <w:rPr>
          <w:rFonts w:ascii="Calibri" w:hAnsi="Calibri"/>
          <w:sz w:val="22"/>
          <w:szCs w:val="22"/>
        </w:rPr>
        <w:t>’</w:t>
      </w:r>
      <w:r w:rsidRPr="00EC52A2">
        <w:rPr>
          <w:rFonts w:ascii="Calibri" w:hAnsi="Calibri"/>
          <w:sz w:val="22"/>
          <w:szCs w:val="22"/>
        </w:rPr>
        <w:t xml:space="preserve"> of </w:t>
      </w:r>
      <w:r w:rsidR="009701DE" w:rsidRPr="00EC52A2">
        <w:rPr>
          <w:rFonts w:ascii="Calibri" w:hAnsi="Calibri"/>
          <w:sz w:val="22"/>
          <w:szCs w:val="22"/>
        </w:rPr>
        <w:t>G</w:t>
      </w:r>
      <w:r w:rsidR="009701DE">
        <w:rPr>
          <w:rFonts w:ascii="Calibri" w:hAnsi="Calibri"/>
          <w:sz w:val="22"/>
          <w:szCs w:val="22"/>
        </w:rPr>
        <w:t>old Standard</w:t>
      </w:r>
      <w:r w:rsidR="009701DE" w:rsidRPr="00EC52A2">
        <w:rPr>
          <w:rFonts w:ascii="Calibri" w:hAnsi="Calibri"/>
          <w:sz w:val="22"/>
          <w:szCs w:val="22"/>
        </w:rPr>
        <w:t xml:space="preserve"> </w:t>
      </w:r>
      <w:r w:rsidRPr="00EC52A2">
        <w:rPr>
          <w:rFonts w:ascii="Calibri" w:hAnsi="Calibri"/>
          <w:sz w:val="22"/>
          <w:szCs w:val="22"/>
        </w:rPr>
        <w:t>VERs</w:t>
      </w:r>
      <w:r w:rsidR="009701DE" w:rsidRPr="00EC52A2">
        <w:rPr>
          <w:rFonts w:ascii="Calibri" w:eastAsia="Calibri" w:hAnsi="Calibri" w:cs="Calibri"/>
          <w:sz w:val="22"/>
          <w:szCs w:val="22"/>
        </w:rPr>
        <w:t>/CO</w:t>
      </w:r>
      <w:r w:rsidR="009701DE" w:rsidRPr="00EC52A2">
        <w:rPr>
          <w:rFonts w:ascii="Calibri" w:eastAsia="Calibri" w:hAnsi="Calibri" w:cs="Calibri"/>
          <w:sz w:val="18"/>
          <w:szCs w:val="22"/>
        </w:rPr>
        <w:t>2</w:t>
      </w:r>
      <w:r w:rsidR="009701DE" w:rsidRPr="00EC52A2">
        <w:rPr>
          <w:rFonts w:ascii="Calibri" w:eastAsia="Calibri" w:hAnsi="Calibri" w:cs="Calibri"/>
          <w:sz w:val="22"/>
          <w:szCs w:val="22"/>
        </w:rPr>
        <w:t>-certificates</w:t>
      </w:r>
      <w:r w:rsidRPr="00EC52A2">
        <w:rPr>
          <w:rFonts w:ascii="Calibri" w:hAnsi="Calibri"/>
          <w:sz w:val="22"/>
          <w:szCs w:val="22"/>
        </w:rPr>
        <w:t xml:space="preserve"> requires that Gold Standard implement </w:t>
      </w:r>
      <w:r w:rsidR="009701DE">
        <w:rPr>
          <w:rFonts w:ascii="Calibri" w:hAnsi="Calibri"/>
          <w:sz w:val="22"/>
          <w:szCs w:val="22"/>
        </w:rPr>
        <w:t>this guideline</w:t>
      </w:r>
      <w:r w:rsidRPr="00EC52A2">
        <w:rPr>
          <w:rFonts w:ascii="Calibri" w:hAnsi="Calibri"/>
          <w:sz w:val="22"/>
          <w:szCs w:val="22"/>
        </w:rPr>
        <w:t xml:space="preserve">.  Without the </w:t>
      </w:r>
      <w:r w:rsidR="009701DE">
        <w:rPr>
          <w:rFonts w:ascii="Calibri" w:hAnsi="Calibri"/>
          <w:sz w:val="22"/>
          <w:szCs w:val="22"/>
        </w:rPr>
        <w:t xml:space="preserve">guideline </w:t>
      </w:r>
      <w:r w:rsidR="009701DE" w:rsidRPr="00EC52A2">
        <w:rPr>
          <w:rFonts w:ascii="Calibri" w:hAnsi="Calibri"/>
          <w:sz w:val="22"/>
          <w:szCs w:val="22"/>
        </w:rPr>
        <w:t>G</w:t>
      </w:r>
      <w:r w:rsidR="009701DE">
        <w:rPr>
          <w:rFonts w:ascii="Calibri" w:hAnsi="Calibri"/>
          <w:sz w:val="22"/>
          <w:szCs w:val="22"/>
        </w:rPr>
        <w:t>old Standard</w:t>
      </w:r>
      <w:r w:rsidR="009701DE" w:rsidRPr="00EC52A2">
        <w:rPr>
          <w:rFonts w:ascii="Calibri" w:hAnsi="Calibri"/>
          <w:sz w:val="22"/>
          <w:szCs w:val="22"/>
        </w:rPr>
        <w:t xml:space="preserve"> VERs</w:t>
      </w:r>
      <w:r w:rsidR="009701DE" w:rsidRPr="00EC52A2">
        <w:rPr>
          <w:rFonts w:ascii="Calibri" w:eastAsia="Calibri" w:hAnsi="Calibri" w:cs="Calibri"/>
          <w:sz w:val="22"/>
          <w:szCs w:val="22"/>
        </w:rPr>
        <w:t>/CO</w:t>
      </w:r>
      <w:r w:rsidR="009701DE" w:rsidRPr="00EC52A2">
        <w:rPr>
          <w:rFonts w:ascii="Calibri" w:eastAsia="Calibri" w:hAnsi="Calibri" w:cs="Calibri"/>
          <w:sz w:val="18"/>
          <w:szCs w:val="22"/>
        </w:rPr>
        <w:t>2</w:t>
      </w:r>
      <w:r w:rsidR="009701DE" w:rsidRPr="00EC52A2">
        <w:rPr>
          <w:rFonts w:ascii="Calibri" w:eastAsia="Calibri" w:hAnsi="Calibri" w:cs="Calibri"/>
          <w:sz w:val="22"/>
          <w:szCs w:val="22"/>
        </w:rPr>
        <w:t>-certificates</w:t>
      </w:r>
      <w:r w:rsidR="009701DE" w:rsidRPr="00EC52A2">
        <w:rPr>
          <w:rFonts w:ascii="Calibri" w:hAnsi="Calibri"/>
          <w:sz w:val="22"/>
          <w:szCs w:val="22"/>
        </w:rPr>
        <w:t xml:space="preserve"> </w:t>
      </w:r>
      <w:r w:rsidRPr="00EC52A2">
        <w:rPr>
          <w:rFonts w:ascii="Calibri" w:hAnsi="Calibri"/>
          <w:sz w:val="22"/>
          <w:szCs w:val="22"/>
        </w:rPr>
        <w:t>within the market w</w:t>
      </w:r>
      <w:r w:rsidR="009701DE">
        <w:rPr>
          <w:rFonts w:ascii="Calibri" w:hAnsi="Calibri"/>
          <w:sz w:val="22"/>
          <w:szCs w:val="22"/>
        </w:rPr>
        <w:t>ould</w:t>
      </w:r>
      <w:r w:rsidRPr="00EC52A2">
        <w:rPr>
          <w:rFonts w:ascii="Calibri" w:hAnsi="Calibri"/>
          <w:sz w:val="22"/>
          <w:szCs w:val="22"/>
        </w:rPr>
        <w:t xml:space="preserve"> be subject to increased scrutiny and doubts as to the veracity of the claims made.  Accordingly it is considered that the </w:t>
      </w:r>
      <w:r w:rsidR="00E2220A">
        <w:rPr>
          <w:rFonts w:ascii="Calibri" w:hAnsi="Calibri"/>
          <w:sz w:val="22"/>
          <w:szCs w:val="22"/>
        </w:rPr>
        <w:t xml:space="preserve">guideline </w:t>
      </w:r>
      <w:r w:rsidRPr="00EC52A2">
        <w:rPr>
          <w:rFonts w:ascii="Calibri" w:hAnsi="Calibri"/>
          <w:sz w:val="22"/>
          <w:szCs w:val="22"/>
        </w:rPr>
        <w:t>will be of benefit to the reputation and integrity of the Gold Standard.</w:t>
      </w:r>
    </w:p>
    <w:p w14:paraId="1824F780" w14:textId="47CF0AE5" w:rsidR="002A328B" w:rsidRDefault="002A328B" w:rsidP="002A328B">
      <w:pPr>
        <w:pStyle w:val="Normal1"/>
        <w:spacing w:after="0"/>
        <w:contextualSpacing w:val="0"/>
        <w:rPr>
          <w:rFonts w:ascii="Calibri" w:hAnsi="Calibri"/>
          <w:sz w:val="22"/>
          <w:szCs w:val="22"/>
        </w:rPr>
      </w:pPr>
    </w:p>
    <w:p w14:paraId="27595B04" w14:textId="77777777" w:rsidR="002A328B" w:rsidRDefault="002A328B" w:rsidP="006E5C5F">
      <w:pPr>
        <w:pStyle w:val="Normal1"/>
        <w:spacing w:after="0"/>
        <w:contextualSpacing w:val="0"/>
        <w:rPr>
          <w:rFonts w:ascii="Calibri" w:hAnsi="Calibri"/>
          <w:b/>
          <w:sz w:val="22"/>
          <w:szCs w:val="22"/>
        </w:rPr>
      </w:pPr>
    </w:p>
    <w:p w14:paraId="1EB6CAF9" w14:textId="0C3F4847" w:rsidR="000349DC" w:rsidRPr="00EC52A2" w:rsidRDefault="000349DC" w:rsidP="006E5C5F">
      <w:pPr>
        <w:spacing w:after="0"/>
        <w:rPr>
          <w:rFonts w:ascii="Calibri" w:hAnsi="Calibri"/>
          <w:sz w:val="22"/>
          <w:szCs w:val="22"/>
        </w:rPr>
      </w:pPr>
    </w:p>
    <w:sectPr w:rsidR="000349DC" w:rsidRPr="00EC52A2">
      <w:headerReference w:type="default" r:id="rId10"/>
      <w:footerReference w:type="even" r:id="rId11"/>
      <w:footerReference w:type="default" r:id="rId12"/>
      <w:pgSz w:w="11900" w:h="16840"/>
      <w:pgMar w:top="1440" w:right="987" w:bottom="1418" w:left="851"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Owen Hewlett" w:date="2015-06-19T10:41:00Z" w:initials="OH">
    <w:p w14:paraId="182C8EDB" w14:textId="1701C6C0" w:rsidR="005C49C5" w:rsidRDefault="005C49C5">
      <w:pPr>
        <w:pStyle w:val="CommentText"/>
      </w:pPr>
      <w:r>
        <w:rPr>
          <w:rStyle w:val="CommentReference"/>
        </w:rPr>
        <w:annotationRef/>
      </w:r>
      <w:r>
        <w:t>Stakeholder attention is drawn to this proposal – due to the longer crediting periods of LU&amp;F projects (A/R for example may be up to 50 years reflecting the longer horizon of project development) should a more regular re-check of Double Counting be implemented.  For example should it be re-checked every 10 years and rule applied as needed?</w:t>
      </w:r>
    </w:p>
  </w:comment>
  <w:comment w:id="2" w:author="Owen Hewlett" w:date="2015-06-19T10:41:00Z" w:initials="OH">
    <w:p w14:paraId="1F3A5E72" w14:textId="21375B16" w:rsidR="00242815" w:rsidRDefault="00242815">
      <w:pPr>
        <w:pStyle w:val="CommentText"/>
      </w:pPr>
      <w:r>
        <w:rPr>
          <w:rStyle w:val="CommentReference"/>
        </w:rPr>
        <w:annotationRef/>
      </w:r>
      <w:r w:rsidR="005C49C5">
        <w:t xml:space="preserve">Stakeholder attention is drawn to </w:t>
      </w:r>
      <w:r>
        <w:t>Options C, D and F to be considered during public comment:</w:t>
      </w:r>
    </w:p>
    <w:p w14:paraId="1FF2E69B" w14:textId="77777777" w:rsidR="00242815" w:rsidRDefault="00242815">
      <w:pPr>
        <w:pStyle w:val="CommentText"/>
      </w:pPr>
    </w:p>
    <w:p w14:paraId="5085D8B5" w14:textId="63AE1728" w:rsidR="00242815" w:rsidRDefault="00242815">
      <w:pPr>
        <w:pStyle w:val="CommentText"/>
      </w:pPr>
      <w:r>
        <w:t>C – is it possible to monitor/police this requirement adequately</w:t>
      </w:r>
      <w:r w:rsidR="005C49C5">
        <w:t>?</w:t>
      </w:r>
    </w:p>
    <w:p w14:paraId="29E8AEEB" w14:textId="77777777" w:rsidR="00242815" w:rsidRDefault="00242815">
      <w:pPr>
        <w:pStyle w:val="CommentText"/>
      </w:pPr>
    </w:p>
    <w:p w14:paraId="1F0FA19D" w14:textId="28BB5444" w:rsidR="00242815" w:rsidRDefault="00242815">
      <w:pPr>
        <w:pStyle w:val="CommentText"/>
      </w:pPr>
      <w:r>
        <w:t>D – should the Gold Standard leave this to the regulator or take a more proactive approach as with Sustainable Development</w:t>
      </w:r>
      <w:r w:rsidR="005C49C5">
        <w:t>?</w:t>
      </w:r>
    </w:p>
    <w:p w14:paraId="75D84879" w14:textId="77777777" w:rsidR="00242815" w:rsidRDefault="00242815">
      <w:pPr>
        <w:pStyle w:val="CommentText"/>
      </w:pPr>
    </w:p>
    <w:p w14:paraId="05614BD0" w14:textId="7057371A" w:rsidR="00242815" w:rsidRDefault="00242815">
      <w:pPr>
        <w:pStyle w:val="CommentText"/>
      </w:pPr>
      <w:r>
        <w:t>F – how would this be checked at each Issuance?  What evidence would be required?</w:t>
      </w:r>
    </w:p>
  </w:comment>
  <w:comment w:id="3" w:author="Owen Hewlett" w:date="2015-06-19T10:41:00Z" w:initials="OH">
    <w:p w14:paraId="448AEE84" w14:textId="78771610" w:rsidR="005C49C5" w:rsidRDefault="005C49C5" w:rsidP="005C49C5">
      <w:pPr>
        <w:spacing w:after="0"/>
        <w:rPr>
          <w:rFonts w:ascii="Calibri" w:hAnsi="Calibri"/>
        </w:rPr>
      </w:pPr>
      <w:r>
        <w:rPr>
          <w:rStyle w:val="CommentReference"/>
        </w:rPr>
        <w:annotationRef/>
      </w:r>
      <w:r>
        <w:rPr>
          <w:rFonts w:ascii="Calibri" w:hAnsi="Calibri"/>
          <w:b/>
        </w:rPr>
        <w:t>Stakeholder attention is drawn to Option G as follows:</w:t>
      </w:r>
      <w:r>
        <w:rPr>
          <w:rFonts w:ascii="Calibri" w:hAnsi="Calibri"/>
          <w:b/>
        </w:rPr>
        <w:br/>
      </w:r>
      <w:r>
        <w:rPr>
          <w:rFonts w:ascii="Calibri" w:hAnsi="Calibri"/>
        </w:rPr>
        <w:t xml:space="preserve">Since 2007 CDM is recommending not to over </w:t>
      </w:r>
      <w:r w:rsidRPr="00645187">
        <w:rPr>
          <w:rFonts w:ascii="Calibri" w:hAnsi="Calibri"/>
        </w:rPr>
        <w:t xml:space="preserve">engineer </w:t>
      </w:r>
      <w:r>
        <w:rPr>
          <w:rFonts w:ascii="Calibri" w:hAnsi="Calibri"/>
        </w:rPr>
        <w:t xml:space="preserve">the calculation of GHG emissions. It recommends to follow a pragmatic approach whereby all GHG emission that are less than </w:t>
      </w:r>
      <w:r w:rsidRPr="00F6126D">
        <w:rPr>
          <w:rFonts w:ascii="Calibri" w:hAnsi="Calibri"/>
        </w:rPr>
        <w:t xml:space="preserve">5 per cent of </w:t>
      </w:r>
      <w:r>
        <w:rPr>
          <w:rFonts w:ascii="Calibri" w:hAnsi="Calibri"/>
        </w:rPr>
        <w:t xml:space="preserve">the respective carbon pool shall be considered as insignificant and set to zero. </w:t>
      </w:r>
    </w:p>
    <w:p w14:paraId="20ED1CAA" w14:textId="77777777" w:rsidR="005C49C5" w:rsidRDefault="005C49C5" w:rsidP="005C49C5">
      <w:pPr>
        <w:spacing w:after="0"/>
        <w:rPr>
          <w:rFonts w:ascii="Calibri" w:hAnsi="Calibri"/>
        </w:rPr>
      </w:pPr>
    </w:p>
    <w:p w14:paraId="71E2FD27" w14:textId="2465152B" w:rsidR="005C49C5" w:rsidRPr="00645187" w:rsidRDefault="005C49C5" w:rsidP="005C49C5">
      <w:pPr>
        <w:spacing w:after="0"/>
        <w:rPr>
          <w:rFonts w:ascii="Calibri" w:hAnsi="Calibri"/>
          <w:i/>
        </w:rPr>
      </w:pPr>
      <w:r>
        <w:rPr>
          <w:rFonts w:ascii="Calibri" w:hAnsi="Calibri"/>
        </w:rPr>
        <w:t>CDM wording:</w:t>
      </w:r>
      <w:r>
        <w:rPr>
          <w:rFonts w:ascii="Calibri" w:hAnsi="Calibri"/>
        </w:rPr>
        <w:br/>
      </w:r>
      <w:r w:rsidRPr="00645187">
        <w:rPr>
          <w:rFonts w:ascii="Calibri" w:hAnsi="Calibri"/>
          <w:i/>
        </w:rPr>
        <w:t>The sum of decreases in carbon pools and increases in emissions that may be neglected shall be less</w:t>
      </w:r>
      <w:r>
        <w:rPr>
          <w:rFonts w:ascii="Calibri" w:hAnsi="Calibri"/>
          <w:i/>
        </w:rPr>
        <w:t xml:space="preserve"> </w:t>
      </w:r>
      <w:r w:rsidRPr="00645187">
        <w:rPr>
          <w:rFonts w:ascii="Calibri" w:hAnsi="Calibri"/>
          <w:i/>
        </w:rPr>
        <w:t>than 5% of the total decreases in carbon pools and increases in emissions, or less than 5% of net</w:t>
      </w:r>
      <w:r>
        <w:rPr>
          <w:rFonts w:ascii="Calibri" w:hAnsi="Calibri"/>
          <w:i/>
        </w:rPr>
        <w:t xml:space="preserve"> </w:t>
      </w:r>
      <w:r w:rsidRPr="00645187">
        <w:rPr>
          <w:rFonts w:ascii="Calibri" w:hAnsi="Calibri"/>
          <w:i/>
        </w:rPr>
        <w:t>anthropogenic removals by sinks, whichever is lower.</w:t>
      </w:r>
      <w:r w:rsidRPr="00645187">
        <w:rPr>
          <w:rStyle w:val="FootnoteReference"/>
          <w:rFonts w:ascii="Calibri" w:hAnsi="Calibri"/>
          <w:i/>
        </w:rPr>
        <w:footnoteRef/>
      </w:r>
    </w:p>
    <w:p w14:paraId="2C16A7BF" w14:textId="77777777" w:rsidR="005C49C5" w:rsidRDefault="005C49C5" w:rsidP="005C49C5">
      <w:pPr>
        <w:spacing w:after="0"/>
        <w:rPr>
          <w:rFonts w:ascii="Calibri" w:hAnsi="Calibri"/>
        </w:rPr>
      </w:pPr>
    </w:p>
    <w:p w14:paraId="0F47ECBB" w14:textId="4E839C81" w:rsidR="005C49C5" w:rsidRDefault="005C49C5" w:rsidP="005C49C5">
      <w:pPr>
        <w:spacing w:after="0"/>
        <w:rPr>
          <w:rFonts w:ascii="Calibri" w:hAnsi="Calibri"/>
        </w:rPr>
      </w:pPr>
      <w:r>
        <w:rPr>
          <w:rFonts w:ascii="Calibri" w:hAnsi="Calibri"/>
        </w:rPr>
        <w:t>Is this of a suitable level of rigour and certainty to meet Gold Standard levels of assurance?  Should it be limited to certain countries/would it assist Least Develop Country finance for example?  How often should it be checked (e.g. at Registration and then how often?)</w:t>
      </w:r>
    </w:p>
    <w:p w14:paraId="793A595F" w14:textId="77777777" w:rsidR="005C49C5" w:rsidRDefault="005C49C5" w:rsidP="005C49C5">
      <w:pPr>
        <w:spacing w:after="0"/>
        <w:rPr>
          <w:rFonts w:ascii="Calibri" w:hAnsi="Calibri"/>
        </w:rPr>
      </w:pPr>
    </w:p>
    <w:p w14:paraId="2A17D89B" w14:textId="6FDD80AE" w:rsidR="005C49C5" w:rsidRDefault="005C49C5" w:rsidP="005C49C5">
      <w:pPr>
        <w:spacing w:after="0"/>
        <w:rPr>
          <w:rFonts w:ascii="Calibri" w:hAnsi="Calibri"/>
        </w:rPr>
      </w:pPr>
      <w:r>
        <w:rPr>
          <w:rFonts w:ascii="Calibri" w:hAnsi="Calibri"/>
        </w:rPr>
        <w:t>As a further option/safeguard would the following be required:</w:t>
      </w:r>
    </w:p>
    <w:p w14:paraId="55517F00" w14:textId="77777777" w:rsidR="005C49C5" w:rsidRDefault="005C49C5" w:rsidP="005C49C5">
      <w:pPr>
        <w:spacing w:after="0"/>
        <w:rPr>
          <w:rFonts w:ascii="Calibri" w:hAnsi="Calibri"/>
        </w:rPr>
      </w:pPr>
    </w:p>
    <w:p w14:paraId="3281FE44" w14:textId="77777777" w:rsidR="005C49C5" w:rsidRDefault="005C49C5" w:rsidP="005C49C5">
      <w:pPr>
        <w:spacing w:after="0"/>
        <w:rPr>
          <w:rFonts w:ascii="Calibri" w:hAnsi="Calibri"/>
        </w:rPr>
      </w:pPr>
      <w:r>
        <w:rPr>
          <w:rFonts w:ascii="Calibri" w:hAnsi="Calibri"/>
          <w:b/>
        </w:rPr>
        <w:t xml:space="preserve">(g) + </w:t>
      </w:r>
      <w:proofErr w:type="gramStart"/>
      <w:r>
        <w:rPr>
          <w:rFonts w:ascii="Calibri" w:hAnsi="Calibri"/>
          <w:b/>
        </w:rPr>
        <w:t>governmental</w:t>
      </w:r>
      <w:proofErr w:type="gramEnd"/>
      <w:r>
        <w:rPr>
          <w:rFonts w:ascii="Calibri" w:hAnsi="Calibri"/>
          <w:b/>
        </w:rPr>
        <w:t xml:space="preserve"> recognition</w:t>
      </w:r>
    </w:p>
    <w:p w14:paraId="40043352" w14:textId="4FA2ACDB" w:rsidR="005C49C5" w:rsidRDefault="005C49C5" w:rsidP="005C49C5">
      <w:pPr>
        <w:spacing w:after="0"/>
        <w:rPr>
          <w:rFonts w:ascii="Calibri" w:hAnsi="Calibri"/>
        </w:rPr>
      </w:pPr>
      <w:r>
        <w:rPr>
          <w:rFonts w:ascii="Calibri" w:hAnsi="Calibri"/>
        </w:rPr>
        <w:t>The host-country government/regulator must additionally recognise that this rule is being applied for the respective project.</w:t>
      </w:r>
    </w:p>
    <w:p w14:paraId="526CE820" w14:textId="3711E4FF" w:rsidR="005C49C5" w:rsidRDefault="005C49C5">
      <w:pPr>
        <w:pStyle w:val="CommentText"/>
      </w:pPr>
    </w:p>
  </w:comment>
  <w:comment w:id="4" w:author="Owen Hewlett" w:date="2015-06-19T10:41:00Z" w:initials="OH">
    <w:p w14:paraId="3A326654" w14:textId="7F08CD4C" w:rsidR="005C49C5" w:rsidRDefault="005C49C5">
      <w:pPr>
        <w:pStyle w:val="CommentText"/>
      </w:pPr>
      <w:r>
        <w:rPr>
          <w:rStyle w:val="CommentReference"/>
        </w:rPr>
        <w:annotationRef/>
      </w:r>
      <w:r>
        <w:t>Stakeholder attention is drawn to the use of AAUs and CERs as Eligible Cancellation Units.  Would these be adequate/robust enough and of sufficient quality?  Would adding further eligibility requirements (e.g. only GS labelled CERS) make the rule un-pragmatic/too expensive and therefore discourage finance flows?</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1D14CA" w14:textId="77777777" w:rsidR="00242815" w:rsidRDefault="00242815">
      <w:pPr>
        <w:spacing w:after="0"/>
      </w:pPr>
      <w:r>
        <w:separator/>
      </w:r>
    </w:p>
  </w:endnote>
  <w:endnote w:type="continuationSeparator" w:id="0">
    <w:p w14:paraId="525F8E77" w14:textId="77777777" w:rsidR="00242815" w:rsidRDefault="002428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E4D4E" w14:textId="77777777" w:rsidR="00242815" w:rsidRDefault="00242815" w:rsidP="005122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5C229B" w14:textId="77777777" w:rsidR="00242815" w:rsidRDefault="00242815" w:rsidP="000616E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8A832" w14:textId="77777777" w:rsidR="00242815" w:rsidRPr="000616EE" w:rsidRDefault="00242815" w:rsidP="000616EE">
    <w:pPr>
      <w:pStyle w:val="Footer"/>
      <w:framePr w:wrap="around" w:vAnchor="text" w:hAnchor="page" w:x="920" w:y="514"/>
      <w:rPr>
        <w:rStyle w:val="PageNumber"/>
        <w:rFonts w:ascii="Calibri" w:hAnsi="Calibri"/>
        <w:color w:val="FFFFFF" w:themeColor="background1"/>
        <w:sz w:val="22"/>
      </w:rPr>
    </w:pPr>
    <w:r w:rsidRPr="000616EE">
      <w:rPr>
        <w:rStyle w:val="PageNumber"/>
        <w:rFonts w:ascii="Calibri" w:hAnsi="Calibri"/>
        <w:color w:val="FFFFFF" w:themeColor="background1"/>
        <w:sz w:val="22"/>
      </w:rPr>
      <w:fldChar w:fldCharType="begin"/>
    </w:r>
    <w:r w:rsidRPr="000616EE">
      <w:rPr>
        <w:rStyle w:val="PageNumber"/>
        <w:rFonts w:ascii="Calibri" w:hAnsi="Calibri"/>
        <w:color w:val="FFFFFF" w:themeColor="background1"/>
        <w:sz w:val="22"/>
      </w:rPr>
      <w:instrText xml:space="preserve">PAGE  </w:instrText>
    </w:r>
    <w:r w:rsidRPr="000616EE">
      <w:rPr>
        <w:rStyle w:val="PageNumber"/>
        <w:rFonts w:ascii="Calibri" w:hAnsi="Calibri"/>
        <w:color w:val="FFFFFF" w:themeColor="background1"/>
        <w:sz w:val="22"/>
      </w:rPr>
      <w:fldChar w:fldCharType="separate"/>
    </w:r>
    <w:r w:rsidR="00063D5C">
      <w:rPr>
        <w:rStyle w:val="PageNumber"/>
        <w:rFonts w:ascii="Calibri" w:hAnsi="Calibri"/>
        <w:noProof/>
        <w:color w:val="FFFFFF" w:themeColor="background1"/>
        <w:sz w:val="22"/>
      </w:rPr>
      <w:t>1</w:t>
    </w:r>
    <w:r w:rsidRPr="000616EE">
      <w:rPr>
        <w:rStyle w:val="PageNumber"/>
        <w:rFonts w:ascii="Calibri" w:hAnsi="Calibri"/>
        <w:color w:val="FFFFFF" w:themeColor="background1"/>
        <w:sz w:val="22"/>
      </w:rPr>
      <w:fldChar w:fldCharType="end"/>
    </w:r>
  </w:p>
  <w:p w14:paraId="2648A5DF" w14:textId="77777777" w:rsidR="00242815" w:rsidRDefault="00242815" w:rsidP="000616EE">
    <w:pPr>
      <w:pStyle w:val="Normal1"/>
      <w:spacing w:after="0"/>
      <w:ind w:left="-566" w:right="360" w:firstLine="567"/>
      <w:contextualSpacing w:val="0"/>
    </w:pPr>
    <w:r>
      <w:rPr>
        <w:noProof/>
        <w:lang w:val="en-US"/>
      </w:rPr>
      <w:drawing>
        <wp:inline distT="0" distB="0" distL="114300" distR="114300" wp14:anchorId="4BB49081" wp14:editId="69188020">
          <wp:extent cx="6858635" cy="546100"/>
          <wp:effectExtent l="0" t="0" r="0" b="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
                  <a:srcRect/>
                  <a:stretch>
                    <a:fillRect/>
                  </a:stretch>
                </pic:blipFill>
                <pic:spPr>
                  <a:xfrm>
                    <a:off x="0" y="0"/>
                    <a:ext cx="6858635" cy="546100"/>
                  </a:xfrm>
                  <a:prstGeom prst="rect">
                    <a:avLst/>
                  </a:prstGeom>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512343" w14:textId="77777777" w:rsidR="00242815" w:rsidRDefault="00242815">
      <w:pPr>
        <w:spacing w:after="0"/>
      </w:pPr>
      <w:r>
        <w:separator/>
      </w:r>
    </w:p>
  </w:footnote>
  <w:footnote w:type="continuationSeparator" w:id="0">
    <w:p w14:paraId="37659BBE" w14:textId="77777777" w:rsidR="00242815" w:rsidRDefault="00242815">
      <w:pPr>
        <w:spacing w:after="0"/>
      </w:pPr>
      <w:r>
        <w:continuationSeparator/>
      </w:r>
    </w:p>
  </w:footnote>
  <w:footnote w:id="1">
    <w:p w14:paraId="487D90AF" w14:textId="39E5F0C7" w:rsidR="00242815" w:rsidRPr="00072C5A" w:rsidRDefault="00242815">
      <w:pPr>
        <w:pStyle w:val="FootnoteText"/>
        <w:rPr>
          <w:sz w:val="20"/>
          <w:szCs w:val="20"/>
          <w:lang w:val="en-US"/>
        </w:rPr>
      </w:pPr>
      <w:r w:rsidRPr="00072C5A">
        <w:rPr>
          <w:rStyle w:val="FootnoteReference"/>
          <w:sz w:val="20"/>
          <w:szCs w:val="20"/>
        </w:rPr>
        <w:footnoteRef/>
      </w:r>
      <w:r w:rsidRPr="00072C5A">
        <w:rPr>
          <w:sz w:val="20"/>
          <w:szCs w:val="20"/>
        </w:rPr>
        <w:t xml:space="preserve"> </w:t>
      </w:r>
      <w:r w:rsidRPr="00072C5A">
        <w:rPr>
          <w:sz w:val="20"/>
          <w:szCs w:val="20"/>
          <w:lang w:val="en-US"/>
        </w:rPr>
        <w:t>Note – this guideline is not intended to address issues of ‘stacking’ of assets – either as multiple assets from the same project activity or multiple activities within the same project.</w:t>
      </w:r>
    </w:p>
  </w:footnote>
  <w:footnote w:id="2">
    <w:p w14:paraId="68846BEB" w14:textId="77777777" w:rsidR="005C49C5" w:rsidRPr="006362FA" w:rsidRDefault="005C49C5" w:rsidP="005C49C5">
      <w:pPr>
        <w:pStyle w:val="FootnoteText"/>
        <w:rPr>
          <w:rFonts w:asciiTheme="majorHAnsi" w:hAnsiTheme="majorHAnsi"/>
          <w:sz w:val="16"/>
          <w:szCs w:val="16"/>
        </w:rPr>
      </w:pPr>
      <w:r w:rsidRPr="006362FA">
        <w:rPr>
          <w:rStyle w:val="FootnoteReference"/>
          <w:rFonts w:asciiTheme="majorHAnsi" w:hAnsiTheme="majorHAnsi"/>
          <w:sz w:val="16"/>
        </w:rPr>
        <w:footnoteRef/>
      </w:r>
      <w:r w:rsidRPr="006362FA">
        <w:rPr>
          <w:rFonts w:asciiTheme="majorHAnsi" w:hAnsiTheme="majorHAnsi"/>
          <w:sz w:val="16"/>
        </w:rPr>
        <w:t xml:space="preserve"> </w:t>
      </w:r>
      <w:r w:rsidRPr="006362FA">
        <w:rPr>
          <w:rFonts w:asciiTheme="majorHAnsi" w:hAnsiTheme="majorHAnsi"/>
          <w:sz w:val="16"/>
          <w:szCs w:val="16"/>
        </w:rPr>
        <w:t xml:space="preserve">National Inventory Report Submissions tot he UNFCCC </w:t>
      </w:r>
      <w:hyperlink r:id="rId1" w:history="1">
        <w:r w:rsidRPr="006362FA">
          <w:rPr>
            <w:rStyle w:val="Hyperlink"/>
            <w:rFonts w:asciiTheme="majorHAnsi" w:hAnsiTheme="majorHAnsi"/>
            <w:sz w:val="16"/>
            <w:szCs w:val="16"/>
          </w:rPr>
          <w:t>http://unfccc.int/national_reports/annex_i_ghg_inventories/national_inventories_submissions/items/8812.php</w:t>
        </w:r>
      </w:hyperlink>
      <w:r w:rsidRPr="006362FA">
        <w:rPr>
          <w:rFonts w:asciiTheme="majorHAnsi" w:hAnsiTheme="majorHAnsi"/>
          <w:sz w:val="16"/>
          <w:szCs w:val="16"/>
        </w:rPr>
        <w:t xml:space="preserve"> </w:t>
      </w:r>
    </w:p>
  </w:footnote>
  <w:footnote w:id="3">
    <w:p w14:paraId="3B2D0C02" w14:textId="77777777" w:rsidR="005C49C5" w:rsidRDefault="005C49C5" w:rsidP="005C49C5">
      <w:pPr>
        <w:pStyle w:val="FootnoteText"/>
        <w:rPr>
          <w:rFonts w:asciiTheme="majorHAnsi" w:hAnsiTheme="majorHAnsi"/>
          <w:sz w:val="16"/>
          <w:szCs w:val="16"/>
        </w:rPr>
      </w:pPr>
      <w:r w:rsidRPr="00826568">
        <w:rPr>
          <w:rStyle w:val="FootnoteReference"/>
          <w:rFonts w:asciiTheme="majorHAnsi" w:hAnsiTheme="majorHAnsi"/>
          <w:sz w:val="16"/>
          <w:szCs w:val="16"/>
        </w:rPr>
        <w:footnoteRef/>
      </w:r>
      <w:r w:rsidRPr="00826568">
        <w:rPr>
          <w:rFonts w:asciiTheme="majorHAnsi" w:hAnsiTheme="majorHAnsi"/>
          <w:sz w:val="16"/>
          <w:szCs w:val="16"/>
        </w:rPr>
        <w:t xml:space="preserve"> Submitted National Communications from non-Annex I Parties</w:t>
      </w:r>
      <w:r>
        <w:rPr>
          <w:rFonts w:asciiTheme="majorHAnsi" w:hAnsiTheme="majorHAnsi"/>
          <w:sz w:val="16"/>
          <w:szCs w:val="16"/>
        </w:rPr>
        <w:t xml:space="preserve"> </w:t>
      </w:r>
      <w:r>
        <w:rPr>
          <w:rFonts w:asciiTheme="majorHAnsi" w:hAnsiTheme="majorHAnsi"/>
          <w:sz w:val="16"/>
          <w:szCs w:val="16"/>
        </w:rPr>
        <w:tab/>
      </w:r>
    </w:p>
    <w:p w14:paraId="4A32894F" w14:textId="77777777" w:rsidR="005C49C5" w:rsidRPr="00826568" w:rsidRDefault="005C49C5" w:rsidP="005C49C5">
      <w:pPr>
        <w:pStyle w:val="FootnoteText"/>
        <w:rPr>
          <w:rFonts w:asciiTheme="majorHAnsi" w:hAnsiTheme="majorHAnsi"/>
          <w:sz w:val="16"/>
          <w:szCs w:val="16"/>
          <w:lang w:val="de-DE"/>
        </w:rPr>
      </w:pPr>
      <w:hyperlink r:id="rId2" w:history="1">
        <w:r w:rsidRPr="004D7657">
          <w:rPr>
            <w:rStyle w:val="Hyperlink"/>
            <w:rFonts w:asciiTheme="majorHAnsi" w:hAnsiTheme="majorHAnsi"/>
            <w:sz w:val="16"/>
            <w:szCs w:val="16"/>
          </w:rPr>
          <w:t>http://unfccc.int/national_reports/non-annex_i_natcom/submitted_natcom/items/653.php</w:t>
        </w:r>
      </w:hyperlink>
      <w:r>
        <w:rPr>
          <w:rFonts w:asciiTheme="majorHAnsi" w:hAnsiTheme="majorHAnsi"/>
          <w:sz w:val="16"/>
          <w:szCs w:val="16"/>
        </w:rPr>
        <w:t xml:space="preserve"> </w:t>
      </w:r>
    </w:p>
  </w:footnote>
  <w:footnote w:id="4">
    <w:p w14:paraId="4B9A80C8" w14:textId="282D0D77" w:rsidR="00F93FAC" w:rsidRPr="005C49C5" w:rsidRDefault="00F93FAC">
      <w:pPr>
        <w:pStyle w:val="FootnoteText"/>
        <w:rPr>
          <w:sz w:val="16"/>
          <w:szCs w:val="16"/>
          <w:lang w:val="en-US"/>
        </w:rPr>
      </w:pPr>
      <w:r w:rsidRPr="005C49C5">
        <w:rPr>
          <w:rStyle w:val="FootnoteReference"/>
          <w:sz w:val="16"/>
          <w:szCs w:val="16"/>
        </w:rPr>
        <w:footnoteRef/>
      </w:r>
      <w:r w:rsidRPr="005C49C5">
        <w:rPr>
          <w:sz w:val="16"/>
          <w:szCs w:val="16"/>
        </w:rPr>
        <w:t xml:space="preserve"> </w:t>
      </w:r>
      <w:r w:rsidRPr="005C49C5">
        <w:rPr>
          <w:sz w:val="16"/>
          <w:szCs w:val="16"/>
          <w:lang w:val="en-US"/>
        </w:rPr>
        <w:t xml:space="preserve">The CERs are cancelled for the sole purpose of backing-up the Emissions Reduction.  To provide some safeguard as to the quality of the credits cancelled these additional criteria are provided however the Gold Standard does not endorse any Sustainable Development contribution beyond that assured by a GS label.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523EA" w14:textId="77777777" w:rsidR="00242815" w:rsidRDefault="00242815">
    <w:pPr>
      <w:pStyle w:val="Normal1"/>
      <w:spacing w:after="0"/>
      <w:ind w:right="-283"/>
      <w:contextualSpacing w:val="0"/>
    </w:pPr>
    <w:r>
      <w:rPr>
        <w:noProof/>
        <w:lang w:val="en-US"/>
      </w:rPr>
      <w:drawing>
        <wp:inline distT="0" distB="0" distL="114300" distR="114300" wp14:anchorId="533E4976" wp14:editId="17950A30">
          <wp:extent cx="1836420" cy="251460"/>
          <wp:effectExtent l="0" t="0" r="0" b="0"/>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1"/>
                  <a:srcRect/>
                  <a:stretch>
                    <a:fillRect/>
                  </a:stretch>
                </pic:blipFill>
                <pic:spPr>
                  <a:xfrm>
                    <a:off x="0" y="0"/>
                    <a:ext cx="1836420" cy="251460"/>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2971CA7"/>
    <w:multiLevelType w:val="hybridMultilevel"/>
    <w:tmpl w:val="ECF65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5C91529"/>
    <w:multiLevelType w:val="hybridMultilevel"/>
    <w:tmpl w:val="1026D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7C4057"/>
    <w:multiLevelType w:val="hybridMultilevel"/>
    <w:tmpl w:val="353CB04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086D5F16"/>
    <w:multiLevelType w:val="hybridMultilevel"/>
    <w:tmpl w:val="41523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252BD8"/>
    <w:multiLevelType w:val="multilevel"/>
    <w:tmpl w:val="68643080"/>
    <w:lvl w:ilvl="0">
      <w:start w:val="1"/>
      <w:numFmt w:val="decimal"/>
      <w:lvlText w:val="%1"/>
      <w:lvlJc w:val="left"/>
      <w:pPr>
        <w:ind w:left="360" w:hanging="36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0D977945"/>
    <w:multiLevelType w:val="hybridMultilevel"/>
    <w:tmpl w:val="61DCB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3475F6"/>
    <w:multiLevelType w:val="hybridMultilevel"/>
    <w:tmpl w:val="4776D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2613994"/>
    <w:multiLevelType w:val="hybridMultilevel"/>
    <w:tmpl w:val="2ED2A46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EE31CFC"/>
    <w:multiLevelType w:val="hybridMultilevel"/>
    <w:tmpl w:val="B5BC8C94"/>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5">
    <w:nsid w:val="20BF6901"/>
    <w:multiLevelType w:val="hybridMultilevel"/>
    <w:tmpl w:val="1054C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5D28D9"/>
    <w:multiLevelType w:val="hybridMultilevel"/>
    <w:tmpl w:val="A5A2D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D91D9B"/>
    <w:multiLevelType w:val="hybridMultilevel"/>
    <w:tmpl w:val="042A0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7B5052"/>
    <w:multiLevelType w:val="hybridMultilevel"/>
    <w:tmpl w:val="B2783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8801CF"/>
    <w:multiLevelType w:val="hybridMultilevel"/>
    <w:tmpl w:val="091CE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6C620A0"/>
    <w:multiLevelType w:val="hybridMultilevel"/>
    <w:tmpl w:val="A282E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A340BD"/>
    <w:multiLevelType w:val="hybridMultilevel"/>
    <w:tmpl w:val="A2309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4803CF"/>
    <w:multiLevelType w:val="hybridMultilevel"/>
    <w:tmpl w:val="41920A18"/>
    <w:lvl w:ilvl="0" w:tplc="BBC63E78">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3B01EE9"/>
    <w:multiLevelType w:val="hybridMultilevel"/>
    <w:tmpl w:val="03AAF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F64F87"/>
    <w:multiLevelType w:val="hybridMultilevel"/>
    <w:tmpl w:val="82B4BF66"/>
    <w:lvl w:ilvl="0" w:tplc="EB6649E0">
      <w:start w:val="5"/>
      <w:numFmt w:val="bullet"/>
      <w:lvlText w:val=""/>
      <w:lvlJc w:val="left"/>
      <w:pPr>
        <w:ind w:left="720" w:hanging="360"/>
      </w:pPr>
      <w:rPr>
        <w:rFonts w:ascii="Wingdings" w:eastAsia="Cambria" w:hAnsi="Wingdings" w:cs="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9F6D5B"/>
    <w:multiLevelType w:val="hybridMultilevel"/>
    <w:tmpl w:val="2730A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CB0B47"/>
    <w:multiLevelType w:val="hybridMultilevel"/>
    <w:tmpl w:val="A224C6D8"/>
    <w:lvl w:ilvl="0" w:tplc="20363B92">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EB55980"/>
    <w:multiLevelType w:val="hybridMultilevel"/>
    <w:tmpl w:val="B24EC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686220"/>
    <w:multiLevelType w:val="hybridMultilevel"/>
    <w:tmpl w:val="67CA34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580796C"/>
    <w:multiLevelType w:val="hybridMultilevel"/>
    <w:tmpl w:val="D8C0D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4A52AC"/>
    <w:multiLevelType w:val="hybridMultilevel"/>
    <w:tmpl w:val="85D012B6"/>
    <w:lvl w:ilvl="0" w:tplc="2D6CFF1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FE506D"/>
    <w:multiLevelType w:val="hybridMultilevel"/>
    <w:tmpl w:val="38568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A101682"/>
    <w:multiLevelType w:val="multilevel"/>
    <w:tmpl w:val="471A36F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54CF408B"/>
    <w:multiLevelType w:val="multilevel"/>
    <w:tmpl w:val="D56070B6"/>
    <w:lvl w:ilvl="0">
      <w:start w:val="1"/>
      <w:numFmt w:val="decimal"/>
      <w:lvlText w:val="%1.0"/>
      <w:lvlJc w:val="left"/>
      <w:pPr>
        <w:ind w:left="114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34">
    <w:nsid w:val="58770D8B"/>
    <w:multiLevelType w:val="hybridMultilevel"/>
    <w:tmpl w:val="834C8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D22D8A"/>
    <w:multiLevelType w:val="multilevel"/>
    <w:tmpl w:val="8CA2B07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6154302D"/>
    <w:multiLevelType w:val="multilevel"/>
    <w:tmpl w:val="C90EB368"/>
    <w:lvl w:ilvl="0">
      <w:start w:val="1"/>
      <w:numFmt w:val="decimal"/>
      <w:lvlText w:val="%1."/>
      <w:lvlJc w:val="left"/>
      <w:pPr>
        <w:ind w:left="360" w:hanging="36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7">
    <w:nsid w:val="64CD596E"/>
    <w:multiLevelType w:val="multilevel"/>
    <w:tmpl w:val="D13CAAC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nsid w:val="65B52401"/>
    <w:multiLevelType w:val="hybridMultilevel"/>
    <w:tmpl w:val="CD8C0EA0"/>
    <w:lvl w:ilvl="0" w:tplc="2D6CFF1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9E7E69"/>
    <w:multiLevelType w:val="hybridMultilevel"/>
    <w:tmpl w:val="BE1CD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B4C118D"/>
    <w:multiLevelType w:val="hybridMultilevel"/>
    <w:tmpl w:val="20140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8"/>
  </w:num>
  <w:num w:numId="3">
    <w:abstractNumId w:val="7"/>
  </w:num>
  <w:num w:numId="4">
    <w:abstractNumId w:val="33"/>
  </w:num>
  <w:num w:numId="5">
    <w:abstractNumId w:val="13"/>
  </w:num>
  <w:num w:numId="6">
    <w:abstractNumId w:val="16"/>
  </w:num>
  <w:num w:numId="7">
    <w:abstractNumId w:val="29"/>
  </w:num>
  <w:num w:numId="8">
    <w:abstractNumId w:val="30"/>
  </w:num>
  <w:num w:numId="9">
    <w:abstractNumId w:val="14"/>
  </w:num>
  <w:num w:numId="10">
    <w:abstractNumId w:val="35"/>
  </w:num>
  <w:num w:numId="11">
    <w:abstractNumId w:val="37"/>
  </w:num>
  <w:num w:numId="12">
    <w:abstractNumId w:val="38"/>
  </w:num>
  <w:num w:numId="13">
    <w:abstractNumId w:val="20"/>
  </w:num>
  <w:num w:numId="14">
    <w:abstractNumId w:val="11"/>
  </w:num>
  <w:num w:numId="15">
    <w:abstractNumId w:val="34"/>
  </w:num>
  <w:num w:numId="16">
    <w:abstractNumId w:val="17"/>
  </w:num>
  <w:num w:numId="17">
    <w:abstractNumId w:val="0"/>
  </w:num>
  <w:num w:numId="18">
    <w:abstractNumId w:val="1"/>
  </w:num>
  <w:num w:numId="19">
    <w:abstractNumId w:val="2"/>
  </w:num>
  <w:num w:numId="20">
    <w:abstractNumId w:val="3"/>
  </w:num>
  <w:num w:numId="21">
    <w:abstractNumId w:val="4"/>
  </w:num>
  <w:num w:numId="22">
    <w:abstractNumId w:val="5"/>
  </w:num>
  <w:num w:numId="23">
    <w:abstractNumId w:val="19"/>
  </w:num>
  <w:num w:numId="24">
    <w:abstractNumId w:val="27"/>
  </w:num>
  <w:num w:numId="25">
    <w:abstractNumId w:val="39"/>
  </w:num>
  <w:num w:numId="26">
    <w:abstractNumId w:val="12"/>
  </w:num>
  <w:num w:numId="27">
    <w:abstractNumId w:val="23"/>
  </w:num>
  <w:num w:numId="28">
    <w:abstractNumId w:val="21"/>
  </w:num>
  <w:num w:numId="29">
    <w:abstractNumId w:val="25"/>
  </w:num>
  <w:num w:numId="30">
    <w:abstractNumId w:val="31"/>
  </w:num>
  <w:num w:numId="31">
    <w:abstractNumId w:val="6"/>
  </w:num>
  <w:num w:numId="32">
    <w:abstractNumId w:val="26"/>
  </w:num>
  <w:num w:numId="33">
    <w:abstractNumId w:val="8"/>
  </w:num>
  <w:num w:numId="34">
    <w:abstractNumId w:val="28"/>
  </w:num>
  <w:num w:numId="35">
    <w:abstractNumId w:val="32"/>
  </w:num>
  <w:num w:numId="36">
    <w:abstractNumId w:val="10"/>
  </w:num>
  <w:num w:numId="37">
    <w:abstractNumId w:val="24"/>
  </w:num>
  <w:num w:numId="38">
    <w:abstractNumId w:val="40"/>
  </w:num>
  <w:num w:numId="39">
    <w:abstractNumId w:val="15"/>
  </w:num>
  <w:num w:numId="40">
    <w:abstractNumId w:val="9"/>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9B4146"/>
    <w:rsid w:val="00000FAB"/>
    <w:rsid w:val="000114C3"/>
    <w:rsid w:val="000349DC"/>
    <w:rsid w:val="00036FFC"/>
    <w:rsid w:val="00052FA0"/>
    <w:rsid w:val="00060AB7"/>
    <w:rsid w:val="000616EE"/>
    <w:rsid w:val="00063D5C"/>
    <w:rsid w:val="00072C5A"/>
    <w:rsid w:val="00075CBA"/>
    <w:rsid w:val="00083A0B"/>
    <w:rsid w:val="000A71B9"/>
    <w:rsid w:val="000D1B30"/>
    <w:rsid w:val="000D2082"/>
    <w:rsid w:val="000D2588"/>
    <w:rsid w:val="001057F1"/>
    <w:rsid w:val="00125544"/>
    <w:rsid w:val="00140B28"/>
    <w:rsid w:val="00147450"/>
    <w:rsid w:val="001501D5"/>
    <w:rsid w:val="001B450C"/>
    <w:rsid w:val="001B6541"/>
    <w:rsid w:val="001C1886"/>
    <w:rsid w:val="001C7D96"/>
    <w:rsid w:val="00215680"/>
    <w:rsid w:val="00221413"/>
    <w:rsid w:val="0023320E"/>
    <w:rsid w:val="00242815"/>
    <w:rsid w:val="00257F1D"/>
    <w:rsid w:val="002A328B"/>
    <w:rsid w:val="002B02D0"/>
    <w:rsid w:val="002B0986"/>
    <w:rsid w:val="002B1F2F"/>
    <w:rsid w:val="002D6948"/>
    <w:rsid w:val="002E5431"/>
    <w:rsid w:val="003165F4"/>
    <w:rsid w:val="00324F50"/>
    <w:rsid w:val="00343C62"/>
    <w:rsid w:val="0037259B"/>
    <w:rsid w:val="003D2340"/>
    <w:rsid w:val="003D4FB0"/>
    <w:rsid w:val="0042628C"/>
    <w:rsid w:val="004325FC"/>
    <w:rsid w:val="004371FE"/>
    <w:rsid w:val="00454329"/>
    <w:rsid w:val="004721A3"/>
    <w:rsid w:val="00492D60"/>
    <w:rsid w:val="0049392E"/>
    <w:rsid w:val="004E34F5"/>
    <w:rsid w:val="00507F13"/>
    <w:rsid w:val="0051224F"/>
    <w:rsid w:val="005159D5"/>
    <w:rsid w:val="00522262"/>
    <w:rsid w:val="00556B3B"/>
    <w:rsid w:val="005700CC"/>
    <w:rsid w:val="005768A8"/>
    <w:rsid w:val="00585BB2"/>
    <w:rsid w:val="005A6111"/>
    <w:rsid w:val="005B4FDD"/>
    <w:rsid w:val="005C49C5"/>
    <w:rsid w:val="005D112C"/>
    <w:rsid w:val="005D6076"/>
    <w:rsid w:val="005F69BA"/>
    <w:rsid w:val="00601BAC"/>
    <w:rsid w:val="006166A1"/>
    <w:rsid w:val="00617F14"/>
    <w:rsid w:val="0063542F"/>
    <w:rsid w:val="00640734"/>
    <w:rsid w:val="00640A83"/>
    <w:rsid w:val="00666FC2"/>
    <w:rsid w:val="00692F10"/>
    <w:rsid w:val="006B3E60"/>
    <w:rsid w:val="006D405F"/>
    <w:rsid w:val="006E37AC"/>
    <w:rsid w:val="006E5C5F"/>
    <w:rsid w:val="006F5EE1"/>
    <w:rsid w:val="007052F3"/>
    <w:rsid w:val="00725341"/>
    <w:rsid w:val="00732C7C"/>
    <w:rsid w:val="0074065D"/>
    <w:rsid w:val="00747377"/>
    <w:rsid w:val="00750AC1"/>
    <w:rsid w:val="007548EC"/>
    <w:rsid w:val="007735A9"/>
    <w:rsid w:val="00777E1F"/>
    <w:rsid w:val="00790E80"/>
    <w:rsid w:val="00792CEA"/>
    <w:rsid w:val="007F2A6B"/>
    <w:rsid w:val="007F4080"/>
    <w:rsid w:val="008029E5"/>
    <w:rsid w:val="008445BA"/>
    <w:rsid w:val="00854E72"/>
    <w:rsid w:val="0088736B"/>
    <w:rsid w:val="008A7CBD"/>
    <w:rsid w:val="008B0F09"/>
    <w:rsid w:val="008B490D"/>
    <w:rsid w:val="008B503B"/>
    <w:rsid w:val="008F2D5B"/>
    <w:rsid w:val="008F3D28"/>
    <w:rsid w:val="00902D8F"/>
    <w:rsid w:val="00935A79"/>
    <w:rsid w:val="009416CF"/>
    <w:rsid w:val="00942A23"/>
    <w:rsid w:val="009701DE"/>
    <w:rsid w:val="0097575E"/>
    <w:rsid w:val="009A039C"/>
    <w:rsid w:val="009B4146"/>
    <w:rsid w:val="009E0BAC"/>
    <w:rsid w:val="009F1C08"/>
    <w:rsid w:val="009F7C0A"/>
    <w:rsid w:val="00A14D23"/>
    <w:rsid w:val="00A775CA"/>
    <w:rsid w:val="00A832C2"/>
    <w:rsid w:val="00A90934"/>
    <w:rsid w:val="00AB6480"/>
    <w:rsid w:val="00AE0273"/>
    <w:rsid w:val="00B1247E"/>
    <w:rsid w:val="00B16767"/>
    <w:rsid w:val="00B32DA0"/>
    <w:rsid w:val="00B42413"/>
    <w:rsid w:val="00B5464C"/>
    <w:rsid w:val="00B56610"/>
    <w:rsid w:val="00B66EA6"/>
    <w:rsid w:val="00B776C7"/>
    <w:rsid w:val="00B8487C"/>
    <w:rsid w:val="00BC0C6A"/>
    <w:rsid w:val="00BC667B"/>
    <w:rsid w:val="00BE516A"/>
    <w:rsid w:val="00BF7D1C"/>
    <w:rsid w:val="00C04A26"/>
    <w:rsid w:val="00C27F22"/>
    <w:rsid w:val="00C50C49"/>
    <w:rsid w:val="00C66B1C"/>
    <w:rsid w:val="00CA7666"/>
    <w:rsid w:val="00CB7A7F"/>
    <w:rsid w:val="00CD22CF"/>
    <w:rsid w:val="00CF77A8"/>
    <w:rsid w:val="00D3006D"/>
    <w:rsid w:val="00D72D17"/>
    <w:rsid w:val="00D8366B"/>
    <w:rsid w:val="00DA0A32"/>
    <w:rsid w:val="00DB569D"/>
    <w:rsid w:val="00DC3353"/>
    <w:rsid w:val="00DC6A17"/>
    <w:rsid w:val="00DE459B"/>
    <w:rsid w:val="00DE5896"/>
    <w:rsid w:val="00E2220A"/>
    <w:rsid w:val="00E268E4"/>
    <w:rsid w:val="00E60D57"/>
    <w:rsid w:val="00E73E51"/>
    <w:rsid w:val="00EA2628"/>
    <w:rsid w:val="00EC42A4"/>
    <w:rsid w:val="00EC52A2"/>
    <w:rsid w:val="00F13012"/>
    <w:rsid w:val="00F145CC"/>
    <w:rsid w:val="00F15AA0"/>
    <w:rsid w:val="00F558AC"/>
    <w:rsid w:val="00F611E6"/>
    <w:rsid w:val="00F774C7"/>
    <w:rsid w:val="00F81E1A"/>
    <w:rsid w:val="00F93FAC"/>
    <w:rsid w:val="00FC133E"/>
    <w:rsid w:val="00FC2A67"/>
    <w:rsid w:val="00FD256A"/>
    <w:rsid w:val="00FE1E69"/>
    <w:rsid w:val="00FE20E6"/>
    <w:rsid w:val="00FE2E21"/>
    <w:rsid w:val="00FE6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6BE2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GB" w:eastAsia="en-US" w:bidi="ar-SA"/>
      </w:rPr>
    </w:rPrDefault>
    <w:pPrDefault>
      <w:pPr>
        <w:widowControl w:val="0"/>
        <w:spacing w:after="200"/>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after="0"/>
      <w:outlineLvl w:val="0"/>
    </w:pPr>
    <w:rPr>
      <w:sz w:val="22"/>
    </w:rPr>
  </w:style>
  <w:style w:type="paragraph" w:styleId="Heading2">
    <w:name w:val="heading 2"/>
    <w:basedOn w:val="Normal1"/>
    <w:next w:val="Normal1"/>
    <w:pPr>
      <w:spacing w:after="0"/>
      <w:outlineLvl w:val="1"/>
    </w:pPr>
    <w:rPr>
      <w:sz w:val="22"/>
    </w:rPr>
  </w:style>
  <w:style w:type="paragraph" w:styleId="Heading3">
    <w:name w:val="heading 3"/>
    <w:basedOn w:val="Normal1"/>
    <w:next w:val="Normal1"/>
    <w:pPr>
      <w:spacing w:after="0"/>
      <w:outlineLvl w:val="2"/>
    </w:pPr>
    <w:rPr>
      <w:sz w:val="22"/>
    </w:rPr>
  </w:style>
  <w:style w:type="paragraph" w:styleId="Heading4">
    <w:name w:val="heading 4"/>
    <w:basedOn w:val="Normal1"/>
    <w:next w:val="Normal1"/>
    <w:pPr>
      <w:spacing w:after="0"/>
      <w:outlineLvl w:val="3"/>
    </w:pPr>
    <w:rPr>
      <w:sz w:val="22"/>
    </w:rPr>
  </w:style>
  <w:style w:type="paragraph" w:styleId="Heading5">
    <w:name w:val="heading 5"/>
    <w:basedOn w:val="Normal1"/>
    <w:next w:val="Normal1"/>
    <w:pPr>
      <w:spacing w:after="0"/>
      <w:outlineLvl w:val="4"/>
    </w:pPr>
    <w:rPr>
      <w:sz w:val="22"/>
    </w:rPr>
  </w:style>
  <w:style w:type="paragraph" w:styleId="Heading6">
    <w:name w:val="heading 6"/>
    <w:basedOn w:val="Normal1"/>
    <w:next w:val="Normal1"/>
    <w:pPr>
      <w:spacing w:after="0"/>
      <w:outlineLvl w:val="5"/>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spacing w:after="0"/>
    </w:pPr>
    <w:rPr>
      <w:sz w:val="22"/>
    </w:rPr>
  </w:style>
  <w:style w:type="paragraph" w:styleId="Subtitle">
    <w:name w:val="Subtitle"/>
    <w:basedOn w:val="Normal1"/>
    <w:next w:val="Normal1"/>
    <w:pPr>
      <w:spacing w:after="0"/>
    </w:pPr>
    <w:rPr>
      <w:rFonts w:ascii="Arial" w:eastAsia="Arial" w:hAnsi="Arial" w:cs="Arial"/>
      <w:sz w:val="22"/>
    </w:rPr>
  </w:style>
  <w:style w:type="paragraph" w:styleId="BalloonText">
    <w:name w:val="Balloon Text"/>
    <w:basedOn w:val="Normal"/>
    <w:link w:val="BalloonTextChar"/>
    <w:uiPriority w:val="99"/>
    <w:semiHidden/>
    <w:unhideWhenUsed/>
    <w:rsid w:val="00052FA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52FA0"/>
    <w:rPr>
      <w:rFonts w:ascii="Lucida Grande" w:hAnsi="Lucida Grande"/>
      <w:sz w:val="18"/>
      <w:szCs w:val="18"/>
    </w:rPr>
  </w:style>
  <w:style w:type="paragraph" w:styleId="FootnoteText">
    <w:name w:val="footnote text"/>
    <w:basedOn w:val="Normal"/>
    <w:link w:val="FootnoteTextChar"/>
    <w:uiPriority w:val="99"/>
    <w:unhideWhenUsed/>
    <w:rsid w:val="004E34F5"/>
    <w:pPr>
      <w:spacing w:after="0"/>
    </w:pPr>
  </w:style>
  <w:style w:type="character" w:customStyle="1" w:styleId="FootnoteTextChar">
    <w:name w:val="Footnote Text Char"/>
    <w:basedOn w:val="DefaultParagraphFont"/>
    <w:link w:val="FootnoteText"/>
    <w:uiPriority w:val="99"/>
    <w:rsid w:val="004E34F5"/>
    <w:rPr>
      <w:szCs w:val="24"/>
    </w:rPr>
  </w:style>
  <w:style w:type="character" w:styleId="FootnoteReference">
    <w:name w:val="footnote reference"/>
    <w:basedOn w:val="DefaultParagraphFont"/>
    <w:uiPriority w:val="99"/>
    <w:unhideWhenUsed/>
    <w:rsid w:val="004E34F5"/>
    <w:rPr>
      <w:vertAlign w:val="superscript"/>
    </w:rPr>
  </w:style>
  <w:style w:type="paragraph" w:styleId="NormalWeb">
    <w:name w:val="Normal (Web)"/>
    <w:basedOn w:val="Normal"/>
    <w:uiPriority w:val="99"/>
    <w:unhideWhenUsed/>
    <w:rsid w:val="009F1C08"/>
    <w:pPr>
      <w:widowControl/>
      <w:spacing w:before="100" w:beforeAutospacing="1" w:after="100" w:afterAutospacing="1"/>
      <w:contextualSpacing w:val="0"/>
    </w:pPr>
    <w:rPr>
      <w:rFonts w:ascii="Times" w:hAnsi="Times" w:cs="Times New Roman"/>
      <w:color w:val="auto"/>
      <w:sz w:val="20"/>
    </w:rPr>
  </w:style>
  <w:style w:type="paragraph" w:styleId="Header">
    <w:name w:val="header"/>
    <w:basedOn w:val="Normal"/>
    <w:link w:val="HeaderChar"/>
    <w:uiPriority w:val="99"/>
    <w:unhideWhenUsed/>
    <w:rsid w:val="000114C3"/>
    <w:pPr>
      <w:tabs>
        <w:tab w:val="center" w:pos="4320"/>
        <w:tab w:val="right" w:pos="8640"/>
      </w:tabs>
      <w:spacing w:after="0"/>
    </w:pPr>
  </w:style>
  <w:style w:type="character" w:customStyle="1" w:styleId="HeaderChar">
    <w:name w:val="Header Char"/>
    <w:basedOn w:val="DefaultParagraphFont"/>
    <w:link w:val="Header"/>
    <w:uiPriority w:val="99"/>
    <w:rsid w:val="000114C3"/>
  </w:style>
  <w:style w:type="paragraph" w:styleId="Footer">
    <w:name w:val="footer"/>
    <w:basedOn w:val="Normal"/>
    <w:link w:val="FooterChar"/>
    <w:uiPriority w:val="99"/>
    <w:unhideWhenUsed/>
    <w:rsid w:val="000114C3"/>
    <w:pPr>
      <w:tabs>
        <w:tab w:val="center" w:pos="4320"/>
        <w:tab w:val="right" w:pos="8640"/>
      </w:tabs>
      <w:spacing w:after="0"/>
    </w:pPr>
  </w:style>
  <w:style w:type="character" w:customStyle="1" w:styleId="FooterChar">
    <w:name w:val="Footer Char"/>
    <w:basedOn w:val="DefaultParagraphFont"/>
    <w:link w:val="Footer"/>
    <w:uiPriority w:val="99"/>
    <w:rsid w:val="000114C3"/>
  </w:style>
  <w:style w:type="paragraph" w:styleId="ListParagraph">
    <w:name w:val="List Paragraph"/>
    <w:basedOn w:val="Normal"/>
    <w:uiPriority w:val="34"/>
    <w:qFormat/>
    <w:rsid w:val="00A90934"/>
    <w:pPr>
      <w:ind w:left="720"/>
    </w:pPr>
  </w:style>
  <w:style w:type="table" w:styleId="TableGrid">
    <w:name w:val="Table Grid"/>
    <w:basedOn w:val="TableNormal"/>
    <w:uiPriority w:val="59"/>
    <w:rsid w:val="00075CB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04A26"/>
    <w:rPr>
      <w:sz w:val="18"/>
      <w:szCs w:val="18"/>
    </w:rPr>
  </w:style>
  <w:style w:type="paragraph" w:styleId="CommentText">
    <w:name w:val="annotation text"/>
    <w:basedOn w:val="Normal"/>
    <w:link w:val="CommentTextChar"/>
    <w:uiPriority w:val="99"/>
    <w:semiHidden/>
    <w:unhideWhenUsed/>
    <w:rsid w:val="00C04A26"/>
  </w:style>
  <w:style w:type="character" w:customStyle="1" w:styleId="CommentTextChar">
    <w:name w:val="Comment Text Char"/>
    <w:basedOn w:val="DefaultParagraphFont"/>
    <w:link w:val="CommentText"/>
    <w:uiPriority w:val="99"/>
    <w:semiHidden/>
    <w:rsid w:val="00C04A26"/>
    <w:rPr>
      <w:szCs w:val="24"/>
    </w:rPr>
  </w:style>
  <w:style w:type="paragraph" w:styleId="CommentSubject">
    <w:name w:val="annotation subject"/>
    <w:basedOn w:val="CommentText"/>
    <w:next w:val="CommentText"/>
    <w:link w:val="CommentSubjectChar"/>
    <w:uiPriority w:val="99"/>
    <w:semiHidden/>
    <w:unhideWhenUsed/>
    <w:rsid w:val="00C04A26"/>
    <w:rPr>
      <w:b/>
      <w:bCs/>
      <w:sz w:val="20"/>
      <w:szCs w:val="20"/>
    </w:rPr>
  </w:style>
  <w:style w:type="character" w:customStyle="1" w:styleId="CommentSubjectChar">
    <w:name w:val="Comment Subject Char"/>
    <w:basedOn w:val="CommentTextChar"/>
    <w:link w:val="CommentSubject"/>
    <w:uiPriority w:val="99"/>
    <w:semiHidden/>
    <w:rsid w:val="00C04A26"/>
    <w:rPr>
      <w:b/>
      <w:bCs/>
      <w:sz w:val="20"/>
      <w:szCs w:val="24"/>
    </w:rPr>
  </w:style>
  <w:style w:type="table" w:styleId="LightList-Accent2">
    <w:name w:val="Light List Accent 2"/>
    <w:basedOn w:val="TableNormal"/>
    <w:uiPriority w:val="61"/>
    <w:rsid w:val="00FE6BD1"/>
    <w:pPr>
      <w:spacing w:after="0"/>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Revision">
    <w:name w:val="Revision"/>
    <w:hidden/>
    <w:uiPriority w:val="99"/>
    <w:semiHidden/>
    <w:rsid w:val="00EC42A4"/>
    <w:pPr>
      <w:widowControl/>
      <w:spacing w:after="0"/>
      <w:contextualSpacing w:val="0"/>
    </w:pPr>
  </w:style>
  <w:style w:type="character" w:styleId="Hyperlink">
    <w:name w:val="Hyperlink"/>
    <w:basedOn w:val="DefaultParagraphFont"/>
    <w:uiPriority w:val="99"/>
    <w:unhideWhenUsed/>
    <w:rsid w:val="005D112C"/>
    <w:rPr>
      <w:color w:val="0000FF" w:themeColor="hyperlink"/>
      <w:u w:val="single"/>
    </w:rPr>
  </w:style>
  <w:style w:type="character" w:styleId="PageNumber">
    <w:name w:val="page number"/>
    <w:basedOn w:val="DefaultParagraphFont"/>
    <w:uiPriority w:val="99"/>
    <w:semiHidden/>
    <w:unhideWhenUsed/>
    <w:rsid w:val="00E268E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GB" w:eastAsia="en-US" w:bidi="ar-SA"/>
      </w:rPr>
    </w:rPrDefault>
    <w:pPrDefault>
      <w:pPr>
        <w:widowControl w:val="0"/>
        <w:spacing w:after="200"/>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after="0"/>
      <w:outlineLvl w:val="0"/>
    </w:pPr>
    <w:rPr>
      <w:sz w:val="22"/>
    </w:rPr>
  </w:style>
  <w:style w:type="paragraph" w:styleId="Heading2">
    <w:name w:val="heading 2"/>
    <w:basedOn w:val="Normal1"/>
    <w:next w:val="Normal1"/>
    <w:pPr>
      <w:spacing w:after="0"/>
      <w:outlineLvl w:val="1"/>
    </w:pPr>
    <w:rPr>
      <w:sz w:val="22"/>
    </w:rPr>
  </w:style>
  <w:style w:type="paragraph" w:styleId="Heading3">
    <w:name w:val="heading 3"/>
    <w:basedOn w:val="Normal1"/>
    <w:next w:val="Normal1"/>
    <w:pPr>
      <w:spacing w:after="0"/>
      <w:outlineLvl w:val="2"/>
    </w:pPr>
    <w:rPr>
      <w:sz w:val="22"/>
    </w:rPr>
  </w:style>
  <w:style w:type="paragraph" w:styleId="Heading4">
    <w:name w:val="heading 4"/>
    <w:basedOn w:val="Normal1"/>
    <w:next w:val="Normal1"/>
    <w:pPr>
      <w:spacing w:after="0"/>
      <w:outlineLvl w:val="3"/>
    </w:pPr>
    <w:rPr>
      <w:sz w:val="22"/>
    </w:rPr>
  </w:style>
  <w:style w:type="paragraph" w:styleId="Heading5">
    <w:name w:val="heading 5"/>
    <w:basedOn w:val="Normal1"/>
    <w:next w:val="Normal1"/>
    <w:pPr>
      <w:spacing w:after="0"/>
      <w:outlineLvl w:val="4"/>
    </w:pPr>
    <w:rPr>
      <w:sz w:val="22"/>
    </w:rPr>
  </w:style>
  <w:style w:type="paragraph" w:styleId="Heading6">
    <w:name w:val="heading 6"/>
    <w:basedOn w:val="Normal1"/>
    <w:next w:val="Normal1"/>
    <w:pPr>
      <w:spacing w:after="0"/>
      <w:outlineLvl w:val="5"/>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spacing w:after="0"/>
    </w:pPr>
    <w:rPr>
      <w:sz w:val="22"/>
    </w:rPr>
  </w:style>
  <w:style w:type="paragraph" w:styleId="Subtitle">
    <w:name w:val="Subtitle"/>
    <w:basedOn w:val="Normal1"/>
    <w:next w:val="Normal1"/>
    <w:pPr>
      <w:spacing w:after="0"/>
    </w:pPr>
    <w:rPr>
      <w:rFonts w:ascii="Arial" w:eastAsia="Arial" w:hAnsi="Arial" w:cs="Arial"/>
      <w:sz w:val="22"/>
    </w:rPr>
  </w:style>
  <w:style w:type="paragraph" w:styleId="BalloonText">
    <w:name w:val="Balloon Text"/>
    <w:basedOn w:val="Normal"/>
    <w:link w:val="BalloonTextChar"/>
    <w:uiPriority w:val="99"/>
    <w:semiHidden/>
    <w:unhideWhenUsed/>
    <w:rsid w:val="00052FA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52FA0"/>
    <w:rPr>
      <w:rFonts w:ascii="Lucida Grande" w:hAnsi="Lucida Grande"/>
      <w:sz w:val="18"/>
      <w:szCs w:val="18"/>
    </w:rPr>
  </w:style>
  <w:style w:type="paragraph" w:styleId="FootnoteText">
    <w:name w:val="footnote text"/>
    <w:basedOn w:val="Normal"/>
    <w:link w:val="FootnoteTextChar"/>
    <w:uiPriority w:val="99"/>
    <w:unhideWhenUsed/>
    <w:rsid w:val="004E34F5"/>
    <w:pPr>
      <w:spacing w:after="0"/>
    </w:pPr>
  </w:style>
  <w:style w:type="character" w:customStyle="1" w:styleId="FootnoteTextChar">
    <w:name w:val="Footnote Text Char"/>
    <w:basedOn w:val="DefaultParagraphFont"/>
    <w:link w:val="FootnoteText"/>
    <w:uiPriority w:val="99"/>
    <w:rsid w:val="004E34F5"/>
    <w:rPr>
      <w:szCs w:val="24"/>
    </w:rPr>
  </w:style>
  <w:style w:type="character" w:styleId="FootnoteReference">
    <w:name w:val="footnote reference"/>
    <w:basedOn w:val="DefaultParagraphFont"/>
    <w:uiPriority w:val="99"/>
    <w:unhideWhenUsed/>
    <w:rsid w:val="004E34F5"/>
    <w:rPr>
      <w:vertAlign w:val="superscript"/>
    </w:rPr>
  </w:style>
  <w:style w:type="paragraph" w:styleId="NormalWeb">
    <w:name w:val="Normal (Web)"/>
    <w:basedOn w:val="Normal"/>
    <w:uiPriority w:val="99"/>
    <w:unhideWhenUsed/>
    <w:rsid w:val="009F1C08"/>
    <w:pPr>
      <w:widowControl/>
      <w:spacing w:before="100" w:beforeAutospacing="1" w:after="100" w:afterAutospacing="1"/>
      <w:contextualSpacing w:val="0"/>
    </w:pPr>
    <w:rPr>
      <w:rFonts w:ascii="Times" w:hAnsi="Times" w:cs="Times New Roman"/>
      <w:color w:val="auto"/>
      <w:sz w:val="20"/>
    </w:rPr>
  </w:style>
  <w:style w:type="paragraph" w:styleId="Header">
    <w:name w:val="header"/>
    <w:basedOn w:val="Normal"/>
    <w:link w:val="HeaderChar"/>
    <w:uiPriority w:val="99"/>
    <w:unhideWhenUsed/>
    <w:rsid w:val="000114C3"/>
    <w:pPr>
      <w:tabs>
        <w:tab w:val="center" w:pos="4320"/>
        <w:tab w:val="right" w:pos="8640"/>
      </w:tabs>
      <w:spacing w:after="0"/>
    </w:pPr>
  </w:style>
  <w:style w:type="character" w:customStyle="1" w:styleId="HeaderChar">
    <w:name w:val="Header Char"/>
    <w:basedOn w:val="DefaultParagraphFont"/>
    <w:link w:val="Header"/>
    <w:uiPriority w:val="99"/>
    <w:rsid w:val="000114C3"/>
  </w:style>
  <w:style w:type="paragraph" w:styleId="Footer">
    <w:name w:val="footer"/>
    <w:basedOn w:val="Normal"/>
    <w:link w:val="FooterChar"/>
    <w:uiPriority w:val="99"/>
    <w:unhideWhenUsed/>
    <w:rsid w:val="000114C3"/>
    <w:pPr>
      <w:tabs>
        <w:tab w:val="center" w:pos="4320"/>
        <w:tab w:val="right" w:pos="8640"/>
      </w:tabs>
      <w:spacing w:after="0"/>
    </w:pPr>
  </w:style>
  <w:style w:type="character" w:customStyle="1" w:styleId="FooterChar">
    <w:name w:val="Footer Char"/>
    <w:basedOn w:val="DefaultParagraphFont"/>
    <w:link w:val="Footer"/>
    <w:uiPriority w:val="99"/>
    <w:rsid w:val="000114C3"/>
  </w:style>
  <w:style w:type="paragraph" w:styleId="ListParagraph">
    <w:name w:val="List Paragraph"/>
    <w:basedOn w:val="Normal"/>
    <w:uiPriority w:val="34"/>
    <w:qFormat/>
    <w:rsid w:val="00A90934"/>
    <w:pPr>
      <w:ind w:left="720"/>
    </w:pPr>
  </w:style>
  <w:style w:type="table" w:styleId="TableGrid">
    <w:name w:val="Table Grid"/>
    <w:basedOn w:val="TableNormal"/>
    <w:uiPriority w:val="59"/>
    <w:rsid w:val="00075CB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04A26"/>
    <w:rPr>
      <w:sz w:val="18"/>
      <w:szCs w:val="18"/>
    </w:rPr>
  </w:style>
  <w:style w:type="paragraph" w:styleId="CommentText">
    <w:name w:val="annotation text"/>
    <w:basedOn w:val="Normal"/>
    <w:link w:val="CommentTextChar"/>
    <w:uiPriority w:val="99"/>
    <w:semiHidden/>
    <w:unhideWhenUsed/>
    <w:rsid w:val="00C04A26"/>
  </w:style>
  <w:style w:type="character" w:customStyle="1" w:styleId="CommentTextChar">
    <w:name w:val="Comment Text Char"/>
    <w:basedOn w:val="DefaultParagraphFont"/>
    <w:link w:val="CommentText"/>
    <w:uiPriority w:val="99"/>
    <w:semiHidden/>
    <w:rsid w:val="00C04A26"/>
    <w:rPr>
      <w:szCs w:val="24"/>
    </w:rPr>
  </w:style>
  <w:style w:type="paragraph" w:styleId="CommentSubject">
    <w:name w:val="annotation subject"/>
    <w:basedOn w:val="CommentText"/>
    <w:next w:val="CommentText"/>
    <w:link w:val="CommentSubjectChar"/>
    <w:uiPriority w:val="99"/>
    <w:semiHidden/>
    <w:unhideWhenUsed/>
    <w:rsid w:val="00C04A26"/>
    <w:rPr>
      <w:b/>
      <w:bCs/>
      <w:sz w:val="20"/>
      <w:szCs w:val="20"/>
    </w:rPr>
  </w:style>
  <w:style w:type="character" w:customStyle="1" w:styleId="CommentSubjectChar">
    <w:name w:val="Comment Subject Char"/>
    <w:basedOn w:val="CommentTextChar"/>
    <w:link w:val="CommentSubject"/>
    <w:uiPriority w:val="99"/>
    <w:semiHidden/>
    <w:rsid w:val="00C04A26"/>
    <w:rPr>
      <w:b/>
      <w:bCs/>
      <w:sz w:val="20"/>
      <w:szCs w:val="24"/>
    </w:rPr>
  </w:style>
  <w:style w:type="table" w:styleId="LightList-Accent2">
    <w:name w:val="Light List Accent 2"/>
    <w:basedOn w:val="TableNormal"/>
    <w:uiPriority w:val="61"/>
    <w:rsid w:val="00FE6BD1"/>
    <w:pPr>
      <w:spacing w:after="0"/>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Revision">
    <w:name w:val="Revision"/>
    <w:hidden/>
    <w:uiPriority w:val="99"/>
    <w:semiHidden/>
    <w:rsid w:val="00EC42A4"/>
    <w:pPr>
      <w:widowControl/>
      <w:spacing w:after="0"/>
      <w:contextualSpacing w:val="0"/>
    </w:pPr>
  </w:style>
  <w:style w:type="character" w:styleId="Hyperlink">
    <w:name w:val="Hyperlink"/>
    <w:basedOn w:val="DefaultParagraphFont"/>
    <w:uiPriority w:val="99"/>
    <w:unhideWhenUsed/>
    <w:rsid w:val="005D112C"/>
    <w:rPr>
      <w:color w:val="0000FF" w:themeColor="hyperlink"/>
      <w:u w:val="single"/>
    </w:rPr>
  </w:style>
  <w:style w:type="character" w:styleId="PageNumber">
    <w:name w:val="page number"/>
    <w:basedOn w:val="DefaultParagraphFont"/>
    <w:uiPriority w:val="99"/>
    <w:semiHidden/>
    <w:unhideWhenUsed/>
    <w:rsid w:val="00E26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09454">
      <w:bodyDiv w:val="1"/>
      <w:marLeft w:val="0"/>
      <w:marRight w:val="0"/>
      <w:marTop w:val="0"/>
      <w:marBottom w:val="0"/>
      <w:divBdr>
        <w:top w:val="none" w:sz="0" w:space="0" w:color="auto"/>
        <w:left w:val="none" w:sz="0" w:space="0" w:color="auto"/>
        <w:bottom w:val="none" w:sz="0" w:space="0" w:color="auto"/>
        <w:right w:val="none" w:sz="0" w:space="0" w:color="auto"/>
      </w:divBdr>
      <w:divsChild>
        <w:div w:id="1666929490">
          <w:marLeft w:val="0"/>
          <w:marRight w:val="0"/>
          <w:marTop w:val="0"/>
          <w:marBottom w:val="0"/>
          <w:divBdr>
            <w:top w:val="none" w:sz="0" w:space="0" w:color="auto"/>
            <w:left w:val="none" w:sz="0" w:space="0" w:color="auto"/>
            <w:bottom w:val="none" w:sz="0" w:space="0" w:color="auto"/>
            <w:right w:val="none" w:sz="0" w:space="0" w:color="auto"/>
          </w:divBdr>
          <w:divsChild>
            <w:div w:id="1594969042">
              <w:marLeft w:val="0"/>
              <w:marRight w:val="0"/>
              <w:marTop w:val="0"/>
              <w:marBottom w:val="0"/>
              <w:divBdr>
                <w:top w:val="none" w:sz="0" w:space="0" w:color="auto"/>
                <w:left w:val="none" w:sz="0" w:space="0" w:color="auto"/>
                <w:bottom w:val="none" w:sz="0" w:space="0" w:color="auto"/>
                <w:right w:val="none" w:sz="0" w:space="0" w:color="auto"/>
              </w:divBdr>
              <w:divsChild>
                <w:div w:id="137326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160573">
      <w:bodyDiv w:val="1"/>
      <w:marLeft w:val="0"/>
      <w:marRight w:val="0"/>
      <w:marTop w:val="0"/>
      <w:marBottom w:val="0"/>
      <w:divBdr>
        <w:top w:val="none" w:sz="0" w:space="0" w:color="auto"/>
        <w:left w:val="none" w:sz="0" w:space="0" w:color="auto"/>
        <w:bottom w:val="none" w:sz="0" w:space="0" w:color="auto"/>
        <w:right w:val="none" w:sz="0" w:space="0" w:color="auto"/>
      </w:divBdr>
    </w:div>
    <w:div w:id="341663021">
      <w:bodyDiv w:val="1"/>
      <w:marLeft w:val="0"/>
      <w:marRight w:val="0"/>
      <w:marTop w:val="0"/>
      <w:marBottom w:val="0"/>
      <w:divBdr>
        <w:top w:val="none" w:sz="0" w:space="0" w:color="auto"/>
        <w:left w:val="none" w:sz="0" w:space="0" w:color="auto"/>
        <w:bottom w:val="none" w:sz="0" w:space="0" w:color="auto"/>
        <w:right w:val="none" w:sz="0" w:space="0" w:color="auto"/>
      </w:divBdr>
    </w:div>
    <w:div w:id="1068530540">
      <w:bodyDiv w:val="1"/>
      <w:marLeft w:val="0"/>
      <w:marRight w:val="0"/>
      <w:marTop w:val="0"/>
      <w:marBottom w:val="0"/>
      <w:divBdr>
        <w:top w:val="none" w:sz="0" w:space="0" w:color="auto"/>
        <w:left w:val="none" w:sz="0" w:space="0" w:color="auto"/>
        <w:bottom w:val="none" w:sz="0" w:space="0" w:color="auto"/>
        <w:right w:val="none" w:sz="0" w:space="0" w:color="auto"/>
      </w:divBdr>
      <w:divsChild>
        <w:div w:id="1799562985">
          <w:marLeft w:val="0"/>
          <w:marRight w:val="0"/>
          <w:marTop w:val="0"/>
          <w:marBottom w:val="0"/>
          <w:divBdr>
            <w:top w:val="none" w:sz="0" w:space="0" w:color="auto"/>
            <w:left w:val="none" w:sz="0" w:space="0" w:color="auto"/>
            <w:bottom w:val="none" w:sz="0" w:space="0" w:color="auto"/>
            <w:right w:val="none" w:sz="0" w:space="0" w:color="auto"/>
          </w:divBdr>
          <w:divsChild>
            <w:div w:id="713383592">
              <w:marLeft w:val="0"/>
              <w:marRight w:val="0"/>
              <w:marTop w:val="0"/>
              <w:marBottom w:val="0"/>
              <w:divBdr>
                <w:top w:val="none" w:sz="0" w:space="0" w:color="auto"/>
                <w:left w:val="none" w:sz="0" w:space="0" w:color="auto"/>
                <w:bottom w:val="none" w:sz="0" w:space="0" w:color="auto"/>
                <w:right w:val="none" w:sz="0" w:space="0" w:color="auto"/>
              </w:divBdr>
              <w:divsChild>
                <w:div w:id="209774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80406">
      <w:bodyDiv w:val="1"/>
      <w:marLeft w:val="0"/>
      <w:marRight w:val="0"/>
      <w:marTop w:val="0"/>
      <w:marBottom w:val="0"/>
      <w:divBdr>
        <w:top w:val="none" w:sz="0" w:space="0" w:color="auto"/>
        <w:left w:val="none" w:sz="0" w:space="0" w:color="auto"/>
        <w:bottom w:val="none" w:sz="0" w:space="0" w:color="auto"/>
        <w:right w:val="none" w:sz="0" w:space="0" w:color="auto"/>
      </w:divBdr>
    </w:div>
    <w:div w:id="1424647729">
      <w:bodyDiv w:val="1"/>
      <w:marLeft w:val="0"/>
      <w:marRight w:val="0"/>
      <w:marTop w:val="0"/>
      <w:marBottom w:val="0"/>
      <w:divBdr>
        <w:top w:val="none" w:sz="0" w:space="0" w:color="auto"/>
        <w:left w:val="none" w:sz="0" w:space="0" w:color="auto"/>
        <w:bottom w:val="none" w:sz="0" w:space="0" w:color="auto"/>
        <w:right w:val="none" w:sz="0" w:space="0" w:color="auto"/>
      </w:divBdr>
      <w:divsChild>
        <w:div w:id="1811050442">
          <w:marLeft w:val="0"/>
          <w:marRight w:val="0"/>
          <w:marTop w:val="0"/>
          <w:marBottom w:val="0"/>
          <w:divBdr>
            <w:top w:val="none" w:sz="0" w:space="0" w:color="auto"/>
            <w:left w:val="none" w:sz="0" w:space="0" w:color="auto"/>
            <w:bottom w:val="none" w:sz="0" w:space="0" w:color="auto"/>
            <w:right w:val="none" w:sz="0" w:space="0" w:color="auto"/>
          </w:divBdr>
          <w:divsChild>
            <w:div w:id="1868449840">
              <w:marLeft w:val="0"/>
              <w:marRight w:val="0"/>
              <w:marTop w:val="0"/>
              <w:marBottom w:val="0"/>
              <w:divBdr>
                <w:top w:val="none" w:sz="0" w:space="0" w:color="auto"/>
                <w:left w:val="none" w:sz="0" w:space="0" w:color="auto"/>
                <w:bottom w:val="none" w:sz="0" w:space="0" w:color="auto"/>
                <w:right w:val="none" w:sz="0" w:space="0" w:color="auto"/>
              </w:divBdr>
              <w:divsChild>
                <w:div w:id="162955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013719">
      <w:bodyDiv w:val="1"/>
      <w:marLeft w:val="0"/>
      <w:marRight w:val="0"/>
      <w:marTop w:val="0"/>
      <w:marBottom w:val="0"/>
      <w:divBdr>
        <w:top w:val="none" w:sz="0" w:space="0" w:color="auto"/>
        <w:left w:val="none" w:sz="0" w:space="0" w:color="auto"/>
        <w:bottom w:val="none" w:sz="0" w:space="0" w:color="auto"/>
        <w:right w:val="none" w:sz="0" w:space="0" w:color="auto"/>
      </w:divBdr>
      <w:divsChild>
        <w:div w:id="2127115924">
          <w:marLeft w:val="0"/>
          <w:marRight w:val="0"/>
          <w:marTop w:val="0"/>
          <w:marBottom w:val="0"/>
          <w:divBdr>
            <w:top w:val="none" w:sz="0" w:space="0" w:color="auto"/>
            <w:left w:val="none" w:sz="0" w:space="0" w:color="auto"/>
            <w:bottom w:val="none" w:sz="0" w:space="0" w:color="auto"/>
            <w:right w:val="none" w:sz="0" w:space="0" w:color="auto"/>
          </w:divBdr>
          <w:divsChild>
            <w:div w:id="832529482">
              <w:marLeft w:val="0"/>
              <w:marRight w:val="0"/>
              <w:marTop w:val="0"/>
              <w:marBottom w:val="0"/>
              <w:divBdr>
                <w:top w:val="none" w:sz="0" w:space="0" w:color="auto"/>
                <w:left w:val="none" w:sz="0" w:space="0" w:color="auto"/>
                <w:bottom w:val="none" w:sz="0" w:space="0" w:color="auto"/>
                <w:right w:val="none" w:sz="0" w:space="0" w:color="auto"/>
              </w:divBdr>
              <w:divsChild>
                <w:div w:id="7854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050443">
      <w:bodyDiv w:val="1"/>
      <w:marLeft w:val="0"/>
      <w:marRight w:val="0"/>
      <w:marTop w:val="0"/>
      <w:marBottom w:val="0"/>
      <w:divBdr>
        <w:top w:val="none" w:sz="0" w:space="0" w:color="auto"/>
        <w:left w:val="none" w:sz="0" w:space="0" w:color="auto"/>
        <w:bottom w:val="none" w:sz="0" w:space="0" w:color="auto"/>
        <w:right w:val="none" w:sz="0" w:space="0" w:color="auto"/>
      </w:divBdr>
    </w:div>
    <w:div w:id="2142840512">
      <w:bodyDiv w:val="1"/>
      <w:marLeft w:val="0"/>
      <w:marRight w:val="0"/>
      <w:marTop w:val="0"/>
      <w:marBottom w:val="0"/>
      <w:divBdr>
        <w:top w:val="none" w:sz="0" w:space="0" w:color="auto"/>
        <w:left w:val="none" w:sz="0" w:space="0" w:color="auto"/>
        <w:bottom w:val="none" w:sz="0" w:space="0" w:color="auto"/>
        <w:right w:val="none" w:sz="0" w:space="0" w:color="auto"/>
      </w:divBdr>
      <w:divsChild>
        <w:div w:id="1507600517">
          <w:marLeft w:val="0"/>
          <w:marRight w:val="0"/>
          <w:marTop w:val="0"/>
          <w:marBottom w:val="0"/>
          <w:divBdr>
            <w:top w:val="none" w:sz="0" w:space="0" w:color="auto"/>
            <w:left w:val="none" w:sz="0" w:space="0" w:color="auto"/>
            <w:bottom w:val="none" w:sz="0" w:space="0" w:color="auto"/>
            <w:right w:val="none" w:sz="0" w:space="0" w:color="auto"/>
          </w:divBdr>
          <w:divsChild>
            <w:div w:id="166873409">
              <w:marLeft w:val="0"/>
              <w:marRight w:val="0"/>
              <w:marTop w:val="0"/>
              <w:marBottom w:val="0"/>
              <w:divBdr>
                <w:top w:val="none" w:sz="0" w:space="0" w:color="auto"/>
                <w:left w:val="none" w:sz="0" w:space="0" w:color="auto"/>
                <w:bottom w:val="none" w:sz="0" w:space="0" w:color="auto"/>
                <w:right w:val="none" w:sz="0" w:space="0" w:color="auto"/>
              </w:divBdr>
              <w:divsChild>
                <w:div w:id="1561209275">
                  <w:marLeft w:val="0"/>
                  <w:marRight w:val="0"/>
                  <w:marTop w:val="0"/>
                  <w:marBottom w:val="0"/>
                  <w:divBdr>
                    <w:top w:val="none" w:sz="0" w:space="0" w:color="auto"/>
                    <w:left w:val="none" w:sz="0" w:space="0" w:color="auto"/>
                    <w:bottom w:val="none" w:sz="0" w:space="0" w:color="auto"/>
                    <w:right w:val="none" w:sz="0" w:space="0" w:color="auto"/>
                  </w:divBdr>
                </w:div>
              </w:divsChild>
            </w:div>
            <w:div w:id="1129475359">
              <w:marLeft w:val="0"/>
              <w:marRight w:val="0"/>
              <w:marTop w:val="0"/>
              <w:marBottom w:val="0"/>
              <w:divBdr>
                <w:top w:val="none" w:sz="0" w:space="0" w:color="auto"/>
                <w:left w:val="none" w:sz="0" w:space="0" w:color="auto"/>
                <w:bottom w:val="none" w:sz="0" w:space="0" w:color="auto"/>
                <w:right w:val="none" w:sz="0" w:space="0" w:color="auto"/>
              </w:divBdr>
              <w:divsChild>
                <w:div w:id="18297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34990">
          <w:marLeft w:val="0"/>
          <w:marRight w:val="0"/>
          <w:marTop w:val="0"/>
          <w:marBottom w:val="0"/>
          <w:divBdr>
            <w:top w:val="none" w:sz="0" w:space="0" w:color="auto"/>
            <w:left w:val="none" w:sz="0" w:space="0" w:color="auto"/>
            <w:bottom w:val="none" w:sz="0" w:space="0" w:color="auto"/>
            <w:right w:val="none" w:sz="0" w:space="0" w:color="auto"/>
          </w:divBdr>
          <w:divsChild>
            <w:div w:id="121776437">
              <w:marLeft w:val="0"/>
              <w:marRight w:val="0"/>
              <w:marTop w:val="0"/>
              <w:marBottom w:val="0"/>
              <w:divBdr>
                <w:top w:val="none" w:sz="0" w:space="0" w:color="auto"/>
                <w:left w:val="none" w:sz="0" w:space="0" w:color="auto"/>
                <w:bottom w:val="none" w:sz="0" w:space="0" w:color="auto"/>
                <w:right w:val="none" w:sz="0" w:space="0" w:color="auto"/>
              </w:divBdr>
              <w:divsChild>
                <w:div w:id="10042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unfccc.int/national_reports/annex_i_ghg_inventories/national_inventories_submissions/items/8812.php" TargetMode="External"/><Relationship Id="rId2" Type="http://schemas.openxmlformats.org/officeDocument/2006/relationships/hyperlink" Target="http://unfccc.int/national_reports/non-annex_i_natcom/submitted_natcom/items/653.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ABD4A-4613-C14F-B128-49B5B0AB0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2428</Words>
  <Characters>13843</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GS Word Template 2014.dot.docx</vt:lpstr>
    </vt:vector>
  </TitlesOfParts>
  <Company>Gold Standard Foundation</Company>
  <LinksUpToDate>false</LinksUpToDate>
  <CharactersWithSpaces>16239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 Word Template 2014.dot.docx</dc:title>
  <dc:creator>rfowler</dc:creator>
  <cp:lastModifiedBy>Claire Davey</cp:lastModifiedBy>
  <cp:revision>3</cp:revision>
  <cp:lastPrinted>2015-05-12T09:26:00Z</cp:lastPrinted>
  <dcterms:created xsi:type="dcterms:W3CDTF">2015-06-19T08:41:00Z</dcterms:created>
  <dcterms:modified xsi:type="dcterms:W3CDTF">2015-06-19T08:42:00Z</dcterms:modified>
</cp:coreProperties>
</file>